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91DF" w14:textId="16B9B46F" w:rsidR="002A7473" w:rsidRPr="00DD4652" w:rsidRDefault="00E4555A" w:rsidP="00917C19">
      <w:pPr>
        <w:spacing w:line="240" w:lineRule="auto"/>
        <w:jc w:val="center"/>
        <w:rPr>
          <w:b/>
          <w:bCs/>
          <w:sz w:val="28"/>
          <w:szCs w:val="28"/>
        </w:rPr>
      </w:pPr>
      <w:r w:rsidRPr="00DD4652">
        <w:rPr>
          <w:b/>
          <w:bCs/>
          <w:sz w:val="28"/>
          <w:szCs w:val="28"/>
        </w:rPr>
        <w:t>Green Credit, Non-Performing Loans, and Bank Profitability: Does Bank Size Matter?</w:t>
      </w:r>
    </w:p>
    <w:p w14:paraId="1D8CEC53" w14:textId="77777777" w:rsidR="00917C19" w:rsidRPr="00DD4652" w:rsidRDefault="00917C19" w:rsidP="00917C19">
      <w:pPr>
        <w:spacing w:line="240" w:lineRule="auto"/>
        <w:jc w:val="center"/>
        <w:rPr>
          <w:b/>
          <w:bCs/>
          <w:sz w:val="22"/>
        </w:rPr>
      </w:pPr>
    </w:p>
    <w:p w14:paraId="0FD6B55F" w14:textId="6C7AB272" w:rsidR="004528F3" w:rsidRPr="00DD4652" w:rsidRDefault="00BD7629" w:rsidP="00917C19">
      <w:pPr>
        <w:spacing w:line="240" w:lineRule="auto"/>
        <w:jc w:val="center"/>
        <w:outlineLvl w:val="0"/>
        <w:rPr>
          <w:b/>
          <w:sz w:val="22"/>
        </w:rPr>
      </w:pPr>
      <w:r w:rsidRPr="00DD4652">
        <w:rPr>
          <w:rFonts w:eastAsia="Times New Roman"/>
          <w:b/>
          <w:sz w:val="22"/>
        </w:rPr>
        <w:t>Eunike Dwimilten</w:t>
      </w:r>
      <w:r w:rsidR="00766BA3" w:rsidRPr="00DD4652">
        <w:rPr>
          <w:b/>
          <w:sz w:val="22"/>
          <w:vertAlign w:val="superscript"/>
        </w:rPr>
        <w:t>1</w:t>
      </w:r>
      <w:r w:rsidR="00722B2B" w:rsidRPr="00DD4652">
        <w:rPr>
          <w:b/>
          <w:sz w:val="22"/>
          <w:vertAlign w:val="superscript"/>
        </w:rPr>
        <w:t>*</w:t>
      </w:r>
      <w:r w:rsidR="00766BA3" w:rsidRPr="00DD4652">
        <w:rPr>
          <w:b/>
          <w:sz w:val="22"/>
        </w:rPr>
        <w:t xml:space="preserve">, </w:t>
      </w:r>
      <w:proofErr w:type="spellStart"/>
      <w:r w:rsidRPr="00DD4652">
        <w:rPr>
          <w:rFonts w:eastAsia="Times New Roman"/>
          <w:b/>
          <w:sz w:val="22"/>
        </w:rPr>
        <w:t>Fitri</w:t>
      </w:r>
      <w:proofErr w:type="spellEnd"/>
      <w:r w:rsidRPr="00DD4652">
        <w:rPr>
          <w:rFonts w:eastAsia="Times New Roman"/>
          <w:b/>
          <w:sz w:val="22"/>
        </w:rPr>
        <w:t xml:space="preserve"> Ismiyanti</w:t>
      </w:r>
      <w:r w:rsidR="00766BA3" w:rsidRPr="00DD4652">
        <w:rPr>
          <w:b/>
          <w:sz w:val="22"/>
          <w:vertAlign w:val="superscript"/>
        </w:rPr>
        <w:t>2</w:t>
      </w:r>
      <w:r w:rsidRPr="00DD4652">
        <w:rPr>
          <w:b/>
          <w:sz w:val="22"/>
        </w:rPr>
        <w:t xml:space="preserve">, </w:t>
      </w:r>
      <w:proofErr w:type="spellStart"/>
      <w:r w:rsidRPr="00DD4652">
        <w:rPr>
          <w:b/>
          <w:sz w:val="22"/>
        </w:rPr>
        <w:t>Deltu</w:t>
      </w:r>
      <w:proofErr w:type="spellEnd"/>
      <w:r w:rsidRPr="00DD4652">
        <w:rPr>
          <w:b/>
          <w:sz w:val="22"/>
        </w:rPr>
        <w:t xml:space="preserve"> Ariesa</w:t>
      </w:r>
      <w:r w:rsidRPr="00DD4652">
        <w:rPr>
          <w:b/>
          <w:sz w:val="22"/>
          <w:vertAlign w:val="superscript"/>
        </w:rPr>
        <w:t>3</w:t>
      </w:r>
      <w:r w:rsidRPr="00DD4652">
        <w:rPr>
          <w:b/>
          <w:sz w:val="22"/>
        </w:rPr>
        <w:t>, Nur Atika Rochmah</w:t>
      </w:r>
      <w:r w:rsidRPr="00DD4652">
        <w:rPr>
          <w:b/>
          <w:sz w:val="22"/>
          <w:vertAlign w:val="superscript"/>
        </w:rPr>
        <w:t>4</w:t>
      </w:r>
      <w:r w:rsidRPr="00DD4652">
        <w:rPr>
          <w:b/>
          <w:sz w:val="22"/>
        </w:rPr>
        <w:t>, Deny Aditya Pratama</w:t>
      </w:r>
      <w:r w:rsidRPr="00DD4652">
        <w:rPr>
          <w:b/>
          <w:sz w:val="22"/>
          <w:vertAlign w:val="superscript"/>
        </w:rPr>
        <w:t>5</w:t>
      </w:r>
      <w:r w:rsidRPr="00DD4652">
        <w:rPr>
          <w:b/>
          <w:sz w:val="22"/>
        </w:rPr>
        <w:t>, Alessandra Natasya Panie</w:t>
      </w:r>
      <w:r w:rsidRPr="00DD4652">
        <w:rPr>
          <w:b/>
          <w:sz w:val="22"/>
          <w:vertAlign w:val="superscript"/>
        </w:rPr>
        <w:t>6</w:t>
      </w:r>
      <w:r w:rsidRPr="00DD4652">
        <w:rPr>
          <w:b/>
          <w:sz w:val="22"/>
        </w:rPr>
        <w:t xml:space="preserve"> </w:t>
      </w:r>
    </w:p>
    <w:p w14:paraId="3AF8C90A" w14:textId="0214A13F" w:rsidR="00AF768A" w:rsidRPr="00DD4652" w:rsidRDefault="00AF768A" w:rsidP="00917C19">
      <w:pPr>
        <w:spacing w:line="240" w:lineRule="auto"/>
        <w:jc w:val="center"/>
        <w:outlineLvl w:val="0"/>
        <w:rPr>
          <w:sz w:val="20"/>
          <w:szCs w:val="20"/>
        </w:rPr>
      </w:pPr>
      <w:r w:rsidRPr="00DD4652">
        <w:rPr>
          <w:sz w:val="20"/>
          <w:szCs w:val="20"/>
          <w:vertAlign w:val="superscript"/>
        </w:rPr>
        <w:t>1,2</w:t>
      </w:r>
      <w:r w:rsidR="00BD7629" w:rsidRPr="00DD4652">
        <w:rPr>
          <w:sz w:val="20"/>
          <w:szCs w:val="20"/>
          <w:vertAlign w:val="superscript"/>
        </w:rPr>
        <w:t>,3,4,5,6</w:t>
      </w:r>
      <w:r w:rsidR="00BD7629" w:rsidRPr="00DD4652">
        <w:rPr>
          <w:rFonts w:eastAsia="Times New Roman"/>
          <w:sz w:val="20"/>
          <w:szCs w:val="20"/>
        </w:rPr>
        <w:t>Airlangga University</w:t>
      </w:r>
    </w:p>
    <w:p w14:paraId="75456211" w14:textId="70379B31" w:rsidR="00626EAC" w:rsidRPr="00DD4652" w:rsidRDefault="00120BC5" w:rsidP="00917C19">
      <w:pPr>
        <w:spacing w:line="240" w:lineRule="auto"/>
        <w:jc w:val="center"/>
        <w:outlineLvl w:val="0"/>
        <w:rPr>
          <w:i/>
          <w:iCs/>
          <w:sz w:val="20"/>
          <w:szCs w:val="20"/>
          <w:vertAlign w:val="superscript"/>
        </w:rPr>
      </w:pPr>
      <w:hyperlink r:id="rId8" w:history="1">
        <w:r w:rsidRPr="00DD4652">
          <w:rPr>
            <w:rStyle w:val="Hyperlink"/>
            <w:rFonts w:eastAsia="Times New Roman"/>
            <w:i/>
            <w:iCs/>
            <w:sz w:val="20"/>
            <w:szCs w:val="20"/>
          </w:rPr>
          <w:t>eunike.dwimilten-2024@feb.unair.ac.id</w:t>
        </w:r>
      </w:hyperlink>
      <w:r w:rsidR="00917C19" w:rsidRPr="00DD4652">
        <w:rPr>
          <w:i/>
          <w:iCs/>
          <w:sz w:val="20"/>
          <w:szCs w:val="20"/>
          <w:vertAlign w:val="superscript"/>
        </w:rPr>
        <w:t>1*</w:t>
      </w:r>
      <w:r w:rsidR="00BD7629" w:rsidRPr="00DD4652">
        <w:rPr>
          <w:rFonts w:eastAsia="Times New Roman"/>
          <w:i/>
          <w:iCs/>
          <w:sz w:val="20"/>
          <w:szCs w:val="20"/>
        </w:rPr>
        <w:t xml:space="preserve">, </w:t>
      </w:r>
      <w:hyperlink r:id="rId9" w:history="1">
        <w:r w:rsidRPr="00DD4652">
          <w:rPr>
            <w:rStyle w:val="Hyperlink"/>
            <w:rFonts w:eastAsia="Times New Roman"/>
            <w:i/>
            <w:iCs/>
            <w:sz w:val="20"/>
            <w:szCs w:val="20"/>
          </w:rPr>
          <w:t>fitri.ismiyanti@feb.unair.ac.id</w:t>
        </w:r>
      </w:hyperlink>
      <w:r w:rsidR="00917C19" w:rsidRPr="00DD4652">
        <w:rPr>
          <w:i/>
          <w:iCs/>
          <w:sz w:val="20"/>
          <w:szCs w:val="20"/>
          <w:vertAlign w:val="superscript"/>
        </w:rPr>
        <w:t>2</w:t>
      </w:r>
      <w:r w:rsidR="00BD7629" w:rsidRPr="00DD4652">
        <w:rPr>
          <w:rFonts w:eastAsia="Times New Roman"/>
          <w:i/>
          <w:iCs/>
          <w:sz w:val="20"/>
          <w:szCs w:val="20"/>
        </w:rPr>
        <w:t xml:space="preserve">, </w:t>
      </w:r>
      <w:hyperlink r:id="rId10" w:history="1">
        <w:r w:rsidR="00BD7629" w:rsidRPr="00DD4652">
          <w:rPr>
            <w:rStyle w:val="Hyperlink"/>
            <w:rFonts w:eastAsia="Times New Roman"/>
            <w:i/>
            <w:iCs/>
            <w:sz w:val="20"/>
            <w:szCs w:val="20"/>
          </w:rPr>
          <w:t>deltuariesa@gmail.com</w:t>
        </w:r>
      </w:hyperlink>
      <w:r w:rsidR="00917C19" w:rsidRPr="00DD4652">
        <w:rPr>
          <w:i/>
          <w:iCs/>
          <w:sz w:val="20"/>
          <w:szCs w:val="20"/>
          <w:vertAlign w:val="superscript"/>
        </w:rPr>
        <w:t>3</w:t>
      </w:r>
      <w:r w:rsidR="00BD7629" w:rsidRPr="00DD4652">
        <w:rPr>
          <w:rFonts w:eastAsia="Times New Roman"/>
          <w:i/>
          <w:iCs/>
          <w:sz w:val="20"/>
          <w:szCs w:val="20"/>
        </w:rPr>
        <w:t xml:space="preserve">, </w:t>
      </w:r>
      <w:hyperlink r:id="rId11" w:history="1">
        <w:r w:rsidR="00BD7629" w:rsidRPr="00DD4652">
          <w:rPr>
            <w:rStyle w:val="Hyperlink"/>
            <w:rFonts w:eastAsia="Times New Roman"/>
            <w:i/>
            <w:iCs/>
            <w:sz w:val="20"/>
            <w:szCs w:val="20"/>
          </w:rPr>
          <w:t>atika.rochmah91@gmail.com</w:t>
        </w:r>
      </w:hyperlink>
      <w:r w:rsidR="00917C19" w:rsidRPr="00DD4652">
        <w:rPr>
          <w:i/>
          <w:iCs/>
          <w:sz w:val="20"/>
          <w:szCs w:val="20"/>
          <w:vertAlign w:val="superscript"/>
        </w:rPr>
        <w:t>4</w:t>
      </w:r>
      <w:r w:rsidR="00BD7629" w:rsidRPr="00DD4652">
        <w:rPr>
          <w:rFonts w:eastAsia="Times New Roman"/>
          <w:i/>
          <w:iCs/>
          <w:sz w:val="20"/>
          <w:szCs w:val="20"/>
        </w:rPr>
        <w:t xml:space="preserve">, </w:t>
      </w:r>
      <w:hyperlink r:id="rId12" w:history="1">
        <w:r w:rsidR="00BD7629" w:rsidRPr="00DD4652">
          <w:rPr>
            <w:rStyle w:val="Hyperlink"/>
            <w:rFonts w:eastAsia="Times New Roman"/>
            <w:i/>
            <w:iCs/>
            <w:sz w:val="20"/>
            <w:szCs w:val="20"/>
          </w:rPr>
          <w:t>deny.aditya.pratama-2024@feb.unair.ac.id</w:t>
        </w:r>
      </w:hyperlink>
      <w:r w:rsidR="00917C19" w:rsidRPr="00DD4652">
        <w:rPr>
          <w:i/>
          <w:iCs/>
          <w:sz w:val="20"/>
          <w:szCs w:val="20"/>
          <w:vertAlign w:val="superscript"/>
        </w:rPr>
        <w:t>5</w:t>
      </w:r>
    </w:p>
    <w:p w14:paraId="2685E9C8" w14:textId="77777777" w:rsidR="007F395D" w:rsidRPr="00DD4652" w:rsidRDefault="007F395D" w:rsidP="00917C19">
      <w:pPr>
        <w:spacing w:line="240" w:lineRule="auto"/>
        <w:rPr>
          <w:sz w:val="20"/>
          <w:szCs w:val="20"/>
        </w:rPr>
      </w:pPr>
    </w:p>
    <w:p w14:paraId="7A666570" w14:textId="77777777" w:rsidR="002C3AF6" w:rsidRPr="00DD4652" w:rsidRDefault="00AF0479" w:rsidP="00917C19">
      <w:pPr>
        <w:spacing w:line="240" w:lineRule="auto"/>
        <w:ind w:left="567" w:right="567"/>
        <w:jc w:val="center"/>
        <w:outlineLvl w:val="0"/>
        <w:rPr>
          <w:b/>
          <w:i/>
          <w:sz w:val="20"/>
          <w:szCs w:val="20"/>
        </w:rPr>
      </w:pPr>
      <w:r w:rsidRPr="00DD4652">
        <w:rPr>
          <w:b/>
          <w:i/>
          <w:sz w:val="20"/>
          <w:szCs w:val="20"/>
        </w:rPr>
        <w:t>Abstract</w:t>
      </w:r>
    </w:p>
    <w:p w14:paraId="2EFA580C" w14:textId="6FC7D9FE" w:rsidR="005E33E3" w:rsidRPr="00DD4652" w:rsidRDefault="00917C19" w:rsidP="00917C19">
      <w:pPr>
        <w:spacing w:line="240" w:lineRule="auto"/>
        <w:jc w:val="both"/>
        <w:rPr>
          <w:rFonts w:eastAsia="Times New Roman"/>
          <w:i/>
          <w:iCs/>
          <w:sz w:val="20"/>
          <w:szCs w:val="20"/>
        </w:rPr>
      </w:pPr>
      <w:bookmarkStart w:id="0" w:name="_Hlk235602326"/>
      <w:r w:rsidRPr="00DD4652">
        <w:rPr>
          <w:rFonts w:eastAsia="Times New Roman"/>
          <w:i/>
          <w:iCs/>
          <w:sz w:val="20"/>
          <w:szCs w:val="20"/>
        </w:rPr>
        <w:t xml:space="preserve">This study examines the effect of green credit and Non-Performing Loans (NPL) on Return on Assets (ROA) and investigates the moderating role of bank size in these relationships among conventional commercial banks. Using a quantitative explanatory approach, this study analyses secondary data from audited financial statements and sustainability reports of 41 </w:t>
      </w:r>
      <w:r w:rsidR="00DD4652" w:rsidRPr="00DD4652">
        <w:rPr>
          <w:rFonts w:eastAsia="Times New Roman"/>
          <w:i/>
          <w:iCs/>
          <w:sz w:val="20"/>
          <w:szCs w:val="20"/>
        </w:rPr>
        <w:t>Indonesia Stock Exchange (</w:t>
      </w:r>
      <w:r w:rsidRPr="00DD4652">
        <w:rPr>
          <w:rFonts w:eastAsia="Times New Roman"/>
          <w:i/>
          <w:iCs/>
          <w:sz w:val="20"/>
          <w:szCs w:val="20"/>
        </w:rPr>
        <w:t>IDX</w:t>
      </w:r>
      <w:r w:rsidR="00DD4652" w:rsidRPr="00DD4652">
        <w:rPr>
          <w:rFonts w:eastAsia="Times New Roman"/>
          <w:i/>
          <w:iCs/>
          <w:sz w:val="20"/>
          <w:szCs w:val="20"/>
        </w:rPr>
        <w:t xml:space="preserve">) </w:t>
      </w:r>
      <w:r w:rsidRPr="00DD4652">
        <w:rPr>
          <w:rFonts w:eastAsia="Times New Roman"/>
          <w:i/>
          <w:iCs/>
          <w:sz w:val="20"/>
          <w:szCs w:val="20"/>
        </w:rPr>
        <w:t>listed conventional commercial banks during 2021</w:t>
      </w:r>
      <w:r w:rsidR="00B3266D">
        <w:rPr>
          <w:rFonts w:eastAsia="Times New Roman"/>
          <w:i/>
          <w:iCs/>
          <w:sz w:val="20"/>
          <w:szCs w:val="20"/>
        </w:rPr>
        <w:t>-</w:t>
      </w:r>
      <w:r w:rsidRPr="00DD4652">
        <w:rPr>
          <w:rFonts w:eastAsia="Times New Roman"/>
          <w:i/>
          <w:iCs/>
          <w:sz w:val="20"/>
          <w:szCs w:val="20"/>
        </w:rPr>
        <w:t xml:space="preserve">2024, resulting in 164 panel observations. Data were </w:t>
      </w:r>
      <w:proofErr w:type="spellStart"/>
      <w:r w:rsidRPr="00DD4652">
        <w:rPr>
          <w:rFonts w:eastAsia="Times New Roman"/>
          <w:i/>
          <w:iCs/>
          <w:sz w:val="20"/>
          <w:szCs w:val="20"/>
        </w:rPr>
        <w:t>analysed</w:t>
      </w:r>
      <w:proofErr w:type="spellEnd"/>
      <w:r w:rsidRPr="00DD4652">
        <w:rPr>
          <w:rFonts w:eastAsia="Times New Roman"/>
          <w:i/>
          <w:iCs/>
          <w:sz w:val="20"/>
          <w:szCs w:val="20"/>
        </w:rPr>
        <w:t xml:space="preserve"> using fixed-effects panel regression with mean-centered Moderated Regression Analysis (MRA). The findings show that green credit has a positive but weak effect on ROA, while NPL has no significant effect under stable post-pandemic credit conditions. Bank size moderates the green credit</w:t>
      </w:r>
      <w:r w:rsidR="00B3266D">
        <w:rPr>
          <w:rFonts w:eastAsia="Times New Roman"/>
          <w:i/>
          <w:iCs/>
          <w:sz w:val="20"/>
          <w:szCs w:val="20"/>
        </w:rPr>
        <w:t>-</w:t>
      </w:r>
      <w:r w:rsidRPr="00DD4652">
        <w:rPr>
          <w:rFonts w:eastAsia="Times New Roman"/>
          <w:i/>
          <w:iCs/>
          <w:sz w:val="20"/>
          <w:szCs w:val="20"/>
        </w:rPr>
        <w:t>ROA relationship, indicating that the profitability benefits of green lending are stronger among smaller banks and decrease as bank size increases. However, bank size does not moderate the NPL</w:t>
      </w:r>
      <w:r w:rsidR="00B3266D">
        <w:rPr>
          <w:rFonts w:eastAsia="Times New Roman"/>
          <w:i/>
          <w:iCs/>
          <w:sz w:val="20"/>
          <w:szCs w:val="20"/>
        </w:rPr>
        <w:t>-</w:t>
      </w:r>
      <w:r w:rsidRPr="00DD4652">
        <w:rPr>
          <w:rFonts w:eastAsia="Times New Roman"/>
          <w:i/>
          <w:iCs/>
          <w:sz w:val="20"/>
          <w:szCs w:val="20"/>
        </w:rPr>
        <w:t>ROA relationship. The profitability impact of sustainable financing depends on bank scale, suggesting that green credit strategies generate different outcomes across banks of different sizes. This study is limited to IDX-listed conventional commercial banks and covers a four-year observation period. This study provides empirical evidence for bank managers and regulators to design green-credit strategies by considering bank size, as smaller banks appear to obtain greater profitability benefits from sustainable lending.</w:t>
      </w:r>
    </w:p>
    <w:p w14:paraId="389B8934" w14:textId="77777777" w:rsidR="00917C19" w:rsidRPr="00DD4652" w:rsidRDefault="00917C19" w:rsidP="00917C19">
      <w:pPr>
        <w:spacing w:line="240" w:lineRule="auto"/>
        <w:jc w:val="both"/>
        <w:rPr>
          <w:rFonts w:eastAsia="Times New Roman"/>
          <w:i/>
          <w:iCs/>
          <w:sz w:val="20"/>
          <w:szCs w:val="20"/>
        </w:rPr>
      </w:pPr>
    </w:p>
    <w:bookmarkEnd w:id="0"/>
    <w:p w14:paraId="55109009" w14:textId="5EA36DA3" w:rsidR="005E33E3" w:rsidRPr="00DD4652" w:rsidRDefault="005E33E3" w:rsidP="00917C19">
      <w:pPr>
        <w:spacing w:line="240" w:lineRule="auto"/>
        <w:jc w:val="both"/>
        <w:rPr>
          <w:rFonts w:eastAsia="Times New Roman"/>
          <w:i/>
          <w:iCs/>
          <w:sz w:val="20"/>
          <w:szCs w:val="20"/>
        </w:rPr>
      </w:pPr>
      <w:r w:rsidRPr="00DD4652">
        <w:rPr>
          <w:rFonts w:eastAsia="Times New Roman"/>
          <w:b/>
          <w:bCs/>
          <w:i/>
          <w:iCs/>
          <w:sz w:val="20"/>
          <w:szCs w:val="20"/>
        </w:rPr>
        <w:t>Keywords:</w:t>
      </w:r>
      <w:r w:rsidRPr="00DD4652">
        <w:rPr>
          <w:rFonts w:eastAsia="Times New Roman"/>
          <w:i/>
          <w:iCs/>
          <w:sz w:val="20"/>
          <w:szCs w:val="20"/>
        </w:rPr>
        <w:t xml:space="preserve"> </w:t>
      </w:r>
      <w:r w:rsidR="00917C19" w:rsidRPr="00DD4652">
        <w:rPr>
          <w:rFonts w:eastAsia="Times New Roman"/>
          <w:i/>
          <w:iCs/>
          <w:sz w:val="20"/>
          <w:szCs w:val="20"/>
        </w:rPr>
        <w:t>Bank Size, Green Credit, Non-Performing Loan, Profitability</w:t>
      </w:r>
      <w:r w:rsidRPr="00DD4652">
        <w:rPr>
          <w:rFonts w:eastAsia="Times New Roman"/>
          <w:i/>
          <w:iCs/>
          <w:sz w:val="20"/>
          <w:szCs w:val="20"/>
        </w:rPr>
        <w:t>, ROA</w:t>
      </w:r>
    </w:p>
    <w:p w14:paraId="1719D7E2" w14:textId="46C35A86" w:rsidR="00BD7629" w:rsidRPr="00DD4652" w:rsidRDefault="00BD7629" w:rsidP="00917C19">
      <w:pPr>
        <w:spacing w:line="240" w:lineRule="auto"/>
        <w:jc w:val="both"/>
        <w:rPr>
          <w:sz w:val="22"/>
        </w:rPr>
      </w:pPr>
    </w:p>
    <w:p w14:paraId="03B2A5B3" w14:textId="77777777" w:rsidR="00BD7629" w:rsidRPr="00DD4652" w:rsidRDefault="00C51101" w:rsidP="00917C19">
      <w:pPr>
        <w:pStyle w:val="ListParagraph"/>
        <w:numPr>
          <w:ilvl w:val="0"/>
          <w:numId w:val="1"/>
        </w:numPr>
        <w:spacing w:line="240" w:lineRule="auto"/>
        <w:ind w:left="540" w:right="58" w:hanging="540"/>
        <w:jc w:val="both"/>
        <w:rPr>
          <w:b/>
          <w:sz w:val="22"/>
        </w:rPr>
      </w:pPr>
      <w:r w:rsidRPr="00DD4652">
        <w:rPr>
          <w:b/>
          <w:sz w:val="22"/>
        </w:rPr>
        <w:t>INTRODUCTION</w:t>
      </w:r>
    </w:p>
    <w:p w14:paraId="09327993" w14:textId="52FCB468" w:rsidR="002A62CD" w:rsidRPr="00DD4652" w:rsidRDefault="002A62CD" w:rsidP="00917C19">
      <w:pPr>
        <w:spacing w:line="240" w:lineRule="auto"/>
        <w:ind w:firstLine="540"/>
        <w:jc w:val="both"/>
        <w:rPr>
          <w:sz w:val="22"/>
        </w:rPr>
      </w:pPr>
      <w:r w:rsidRPr="00DD4652">
        <w:rPr>
          <w:rFonts w:eastAsia="Times New Roman"/>
          <w:sz w:val="22"/>
        </w:rPr>
        <w:t>The banking sector occupies a strategic position in the architecture of a country's financial system. Beyond performing the intermediation function between surplus parties and parties requiring financing, banking also serves as a catalyst for national economic growth and a transmission channel for monetary policy. In this position, profitability is not merely a measure of commercial success, but a reflection of the bank's ability to maintain public trust and to accumulate capital to support the expansion of its intermediation function. Bank profitability is commonly proxied by Return on Assets (ROA) because this ratio measures management's effectiveness in generating profit from total assets without being distorted by differences in capital structure across banks</w:t>
      </w:r>
      <w:r w:rsidR="000D41A4" w:rsidRPr="00DD4652">
        <w:rPr>
          <w:rFonts w:eastAsia="Times New Roman"/>
          <w:color w:val="000000"/>
          <w:sz w:val="22"/>
        </w:rPr>
        <w:t xml:space="preserve"> </w:t>
      </w:r>
      <w:r w:rsidR="000D41A4" w:rsidRPr="00DD4652">
        <w:rPr>
          <w:rFonts w:eastAsia="Times New Roman"/>
          <w:color w:val="000000"/>
          <w:sz w:val="22"/>
        </w:rPr>
        <w:fldChar w:fldCharType="begin">
          <w:fldData xml:space="preserve">PEVuZE5vdGU+PENpdGU+PEF1dGhvcj5SaXlhbnRpPC9BdXRob3I+PFllYXI+MjAyNTwvWWVhcj48
UmVjTnVtPjEwMjI4PC9SZWNOdW0+PERpc3BsYXlUZXh0PihQdXNwaXRhLCBZYWh5YSwgQWRoYSwg
JmFtcDsgSnVsaWFuZGFyaSwgMjAyNTsgUml5YW50aSwgV3VsYW5kYXJpLCBQcmlqYWRpLCAmYW1w
OyBUb3J0b3NhLUF1c2luYSwgMjAyNSk8L0Rpc3BsYXlUZXh0PjxyZWNvcmQ+PHJlYy1udW1iZXI+
MTAyMjg8L3JlYy1udW1iZXI+PGZvcmVpZ24ta2V5cz48a2V5IGFwcD0iRU4iIGRiLWlkPSJ4NWV6
ZGF6c2E5enNlcWU1ZXN5NXp3OXd4ZTk1cGF3ZjJlMGQiIHRpbWVzdGFtcD0iMTc4NDY5MjcwNCI+
MTAyMjg8L2tleT48L2ZvcmVpZ24ta2V5cz48cmVmLXR5cGUgbmFtZT0iSm91cm5hbCBBcnRpY2xl
Ij4xNzwvcmVmLXR5cGU+PGNvbnRyaWJ1dG9ycz48YXV0aG9ycz48YXV0aG9yPlJpeWFudGksIFJp
cmllbiBTZXRpYXRpPC9hdXRob3I+PGF1dGhvcj5XdWxhbmRhcmksIFBlcm1hdGE8L2F1dGhvcj48
YXV0aG9yPlByaWphZGksIFJ1c2xhbjwvYXV0aG9yPjxhdXRob3I+VG9ydG9zYS1BdXNpbmEsIEVt
aWxpPC9hdXRob3I+PC9hdXRob3JzPjwvY29udHJpYnV0b3JzPjx0aXRsZXM+PHRpdGxlPkdyZWVu
IGxvYW5zOiBOYXZpZ2F0aW5nIHRoZSBwYXRoIHRvIHN1c3RhaW5hYmxlIHByb2ZpdGFiaWxpdHkg
aW4gYmFua2luZzwvdGl0bGU+PHNlY29uZGFyeS10aXRsZT5FY29ub21pYyBBbmFseXNpcyBhbmQg
UG9saWN5PC9zZWNvbmRhcnktdGl0bGU+PC90aXRsZXM+PHBlcmlvZGljYWw+PGZ1bGwtdGl0bGU+
RWNvbm9taWMgQW5hbHlzaXMgYW5kIFBvbGljeTwvZnVsbC10aXRsZT48L3BlcmlvZGljYWw+PHBh
Z2VzPjE2MTMtMTYyNDwvcGFnZXM+PHZvbHVtZT44NTwvdm9sdW1lPjxkYXRlcz48eWVhcj4yMDI1
PC95ZWFyPjwvZGF0ZXM+PGlzYm4+MDMxMy01OTI2PC9pc2JuPjx1cmxzPjwvdXJscz48ZWxlY3Ry
b25pYy1yZXNvdXJjZS1udW0+aHR0cHM6Ly9kb2kub3JnLzEwLjEwMTYvai5lYXAuMjAyNS4wMS4w
Mjg8L2VsZWN0cm9uaWMtcmVzb3VyY2UtbnVtPjwvcmVjb3JkPjwvQ2l0ZT48Q2l0ZT48QXV0aG9y
PlB1c3BpdGE8L0F1dGhvcj48WWVhcj4yMDI1PC9ZZWFyPjxSZWNOdW0+MTAyNjI8L1JlY051bT48
cmVjb3JkPjxyZWMtbnVtYmVyPjEwMjYyPC9yZWMtbnVtYmVyPjxmb3JlaWduLWtleXM+PGtleSBh
cHA9IkVOIiBkYi1pZD0ieDVlemRhenNhOXpzZXFlNWVzeTV6dzl3eGU5NXBhd2YyZTBkIiB0aW1l
c3RhbXA9IjE3ODQ3MDE1OTYiPjEwMjYyPC9rZXk+PC9mb3JlaWduLWtleXM+PHJlZi10eXBlIG5h
bWU9IkpvdXJuYWwgQXJ0aWNsZSI+MTc8L3JlZi10eXBlPjxjb250cmlidXRvcnM+PGF1dGhvcnM+
PGF1dGhvcj5QdXNwaXRhLCBJbmRhaCBMaWE8L2F1dGhvcj48YXV0aG9yPllhaHlhLCBBaG1hdDwv
YXV0aG9yPjxhdXRob3I+QWRoYSwgTnVyIEFsaWYgS2hhaXJpbGEgQWwgQWhtYWQ8L2F1dGhvcj48
YXV0aG9yPkp1bGlhbmRhcmksIFdpbmRhPC9hdXRob3I+PC9hdXRob3JzPjwvY29udHJpYnV0b3Jz
Pjx0aXRsZXM+PHRpdGxlPlRoZSBJbXBhY3Qgb2YgVGhlIElzcmFlbGkgUHJvZHVjdCBCb3ljb3R0
IG9uIFRoZSBJbnRlcm5hdGlvbmFsIEVjb25vbXksIFRoZSBJc3JhZWxpIFByb2R1Y3QgQm95Y290
dCBNb3ZlbWVudDogRWNvbm9taWMsIExlZ2FsLCBhbmQgRXRoaWNhbCBQZXJzcGVjdGl2ZXM8L3Rp
dGxlPjxzZWNvbmRhcnktdGl0bGU+SnVybmFsIFJlbGV2YW5zaTogRWtvbm9taSwgTWFuYWplbWVu
IGRhbiBCaXNuaXM8L3NlY29uZGFyeS10aXRsZT48L3RpdGxlcz48cGVyaW9kaWNhbD48ZnVsbC10
aXRsZT5KdXJuYWwgUmVsZXZhbnNpOiBFa29ub21pLCBNYW5hamVtZW4gZGFuIEJpc25pczwvZnVs
bC10aXRsZT48L3BlcmlvZGljYWw+PHBhZ2VzPjM0Ny0zNTY8L3BhZ2VzPjx2b2x1bWU+OTwvdm9s
dW1lPjxudW1iZXI+MjwvbnVtYmVyPjxkYXRlcz48eWVhcj4yMDI1PC95ZWFyPjwvZGF0ZXM+PGlz
Ym4+MjYyMi0wNDE1PC9pc2JuPjx1cmxzPjwvdXJscz48ZWxlY3Ryb25pYy1yZXNvdXJjZS1udW0+
aHR0cHM6Ly9kb2kub3JnLzEwLjYxNDAxL3JlbGV2YW5zaS52OWkyLjM1MzwvZWxlY3Ryb25pYy1y
ZXNvdXJjZS1udW0+PC9yZWNvcmQ+PC9DaXRlPjwvRW5kTm90ZT4A
</w:fldData>
        </w:fldChar>
      </w:r>
      <w:r w:rsidR="00936FF9" w:rsidRPr="00DD4652">
        <w:rPr>
          <w:rFonts w:eastAsia="Times New Roman"/>
          <w:color w:val="000000"/>
          <w:sz w:val="22"/>
        </w:rPr>
        <w:instrText xml:space="preserve"> ADDIN EN.CITE </w:instrText>
      </w:r>
      <w:r w:rsidR="00936FF9" w:rsidRPr="00DD4652">
        <w:rPr>
          <w:rFonts w:eastAsia="Times New Roman"/>
          <w:color w:val="000000"/>
          <w:sz w:val="22"/>
        </w:rPr>
        <w:fldChar w:fldCharType="begin">
          <w:fldData xml:space="preserve">PEVuZE5vdGU+PENpdGU+PEF1dGhvcj5SaXlhbnRpPC9BdXRob3I+PFllYXI+MjAyNTwvWWVhcj48
UmVjTnVtPjEwMjI4PC9SZWNOdW0+PERpc3BsYXlUZXh0PihQdXNwaXRhLCBZYWh5YSwgQWRoYSwg
JmFtcDsgSnVsaWFuZGFyaSwgMjAyNTsgUml5YW50aSwgV3VsYW5kYXJpLCBQcmlqYWRpLCAmYW1w
OyBUb3J0b3NhLUF1c2luYSwgMjAyNSk8L0Rpc3BsYXlUZXh0PjxyZWNvcmQ+PHJlYy1udW1iZXI+
MTAyMjg8L3JlYy1udW1iZXI+PGZvcmVpZ24ta2V5cz48a2V5IGFwcD0iRU4iIGRiLWlkPSJ4NWV6
ZGF6c2E5enNlcWU1ZXN5NXp3OXd4ZTk1cGF3ZjJlMGQiIHRpbWVzdGFtcD0iMTc4NDY5MjcwNCI+
MTAyMjg8L2tleT48L2ZvcmVpZ24ta2V5cz48cmVmLXR5cGUgbmFtZT0iSm91cm5hbCBBcnRpY2xl
Ij4xNzwvcmVmLXR5cGU+PGNvbnRyaWJ1dG9ycz48YXV0aG9ycz48YXV0aG9yPlJpeWFudGksIFJp
cmllbiBTZXRpYXRpPC9hdXRob3I+PGF1dGhvcj5XdWxhbmRhcmksIFBlcm1hdGE8L2F1dGhvcj48
YXV0aG9yPlByaWphZGksIFJ1c2xhbjwvYXV0aG9yPjxhdXRob3I+VG9ydG9zYS1BdXNpbmEsIEVt
aWxpPC9hdXRob3I+PC9hdXRob3JzPjwvY29udHJpYnV0b3JzPjx0aXRsZXM+PHRpdGxlPkdyZWVu
IGxvYW5zOiBOYXZpZ2F0aW5nIHRoZSBwYXRoIHRvIHN1c3RhaW5hYmxlIHByb2ZpdGFiaWxpdHkg
aW4gYmFua2luZzwvdGl0bGU+PHNlY29uZGFyeS10aXRsZT5FY29ub21pYyBBbmFseXNpcyBhbmQg
UG9saWN5PC9zZWNvbmRhcnktdGl0bGU+PC90aXRsZXM+PHBlcmlvZGljYWw+PGZ1bGwtdGl0bGU+
RWNvbm9taWMgQW5hbHlzaXMgYW5kIFBvbGljeTwvZnVsbC10aXRsZT48L3BlcmlvZGljYWw+PHBh
Z2VzPjE2MTMtMTYyNDwvcGFnZXM+PHZvbHVtZT44NTwvdm9sdW1lPjxkYXRlcz48eWVhcj4yMDI1
PC95ZWFyPjwvZGF0ZXM+PGlzYm4+MDMxMy01OTI2PC9pc2JuPjx1cmxzPjwvdXJscz48ZWxlY3Ry
b25pYy1yZXNvdXJjZS1udW0+aHR0cHM6Ly9kb2kub3JnLzEwLjEwMTYvai5lYXAuMjAyNS4wMS4w
Mjg8L2VsZWN0cm9uaWMtcmVzb3VyY2UtbnVtPjwvcmVjb3JkPjwvQ2l0ZT48Q2l0ZT48QXV0aG9y
PlB1c3BpdGE8L0F1dGhvcj48WWVhcj4yMDI1PC9ZZWFyPjxSZWNOdW0+MTAyNjI8L1JlY051bT48
cmVjb3JkPjxyZWMtbnVtYmVyPjEwMjYyPC9yZWMtbnVtYmVyPjxmb3JlaWduLWtleXM+PGtleSBh
cHA9IkVOIiBkYi1pZD0ieDVlemRhenNhOXpzZXFlNWVzeTV6dzl3eGU5NXBhd2YyZTBkIiB0aW1l
c3RhbXA9IjE3ODQ3MDE1OTYiPjEwMjYyPC9rZXk+PC9mb3JlaWduLWtleXM+PHJlZi10eXBlIG5h
bWU9IkpvdXJuYWwgQXJ0aWNsZSI+MTc8L3JlZi10eXBlPjxjb250cmlidXRvcnM+PGF1dGhvcnM+
PGF1dGhvcj5QdXNwaXRhLCBJbmRhaCBMaWE8L2F1dGhvcj48YXV0aG9yPllhaHlhLCBBaG1hdDwv
YXV0aG9yPjxhdXRob3I+QWRoYSwgTnVyIEFsaWYgS2hhaXJpbGEgQWwgQWhtYWQ8L2F1dGhvcj48
YXV0aG9yPkp1bGlhbmRhcmksIFdpbmRhPC9hdXRob3I+PC9hdXRob3JzPjwvY29udHJpYnV0b3Jz
Pjx0aXRsZXM+PHRpdGxlPlRoZSBJbXBhY3Qgb2YgVGhlIElzcmFlbGkgUHJvZHVjdCBCb3ljb3R0
IG9uIFRoZSBJbnRlcm5hdGlvbmFsIEVjb25vbXksIFRoZSBJc3JhZWxpIFByb2R1Y3QgQm95Y290
dCBNb3ZlbWVudDogRWNvbm9taWMsIExlZ2FsLCBhbmQgRXRoaWNhbCBQZXJzcGVjdGl2ZXM8L3Rp
dGxlPjxzZWNvbmRhcnktdGl0bGU+SnVybmFsIFJlbGV2YW5zaTogRWtvbm9taSwgTWFuYWplbWVu
IGRhbiBCaXNuaXM8L3NlY29uZGFyeS10aXRsZT48L3RpdGxlcz48cGVyaW9kaWNhbD48ZnVsbC10
aXRsZT5KdXJuYWwgUmVsZXZhbnNpOiBFa29ub21pLCBNYW5hamVtZW4gZGFuIEJpc25pczwvZnVs
bC10aXRsZT48L3BlcmlvZGljYWw+PHBhZ2VzPjM0Ny0zNTY8L3BhZ2VzPjx2b2x1bWU+OTwvdm9s
dW1lPjxudW1iZXI+MjwvbnVtYmVyPjxkYXRlcz48eWVhcj4yMDI1PC95ZWFyPjwvZGF0ZXM+PGlz
Ym4+MjYyMi0wNDE1PC9pc2JuPjx1cmxzPjwvdXJscz48ZWxlY3Ryb25pYy1yZXNvdXJjZS1udW0+
aHR0cHM6Ly9kb2kub3JnLzEwLjYxNDAxL3JlbGV2YW5zaS52OWkyLjM1MzwvZWxlY3Ryb25pYy1y
ZXNvdXJjZS1udW0+PC9yZWNvcmQ+PC9DaXRlPjwvRW5kTm90ZT4A
</w:fldData>
        </w:fldChar>
      </w:r>
      <w:r w:rsidR="00936FF9" w:rsidRPr="00DD4652">
        <w:rPr>
          <w:rFonts w:eastAsia="Times New Roman"/>
          <w:color w:val="000000"/>
          <w:sz w:val="22"/>
        </w:rPr>
        <w:instrText xml:space="preserve"> ADDIN EN.CITE.DATA </w:instrText>
      </w:r>
      <w:r w:rsidR="00936FF9" w:rsidRPr="00DD4652">
        <w:rPr>
          <w:rFonts w:eastAsia="Times New Roman"/>
          <w:color w:val="000000"/>
          <w:sz w:val="22"/>
        </w:rPr>
      </w:r>
      <w:r w:rsidR="00936FF9" w:rsidRPr="00DD4652">
        <w:rPr>
          <w:rFonts w:eastAsia="Times New Roman"/>
          <w:color w:val="000000"/>
          <w:sz w:val="22"/>
        </w:rPr>
        <w:fldChar w:fldCharType="end"/>
      </w:r>
      <w:r w:rsidR="000D41A4" w:rsidRPr="00DD4652">
        <w:rPr>
          <w:rFonts w:eastAsia="Times New Roman"/>
          <w:color w:val="000000"/>
          <w:sz w:val="22"/>
        </w:rPr>
      </w:r>
      <w:r w:rsidR="000D41A4" w:rsidRPr="00DD4652">
        <w:rPr>
          <w:rFonts w:eastAsia="Times New Roman"/>
          <w:color w:val="000000"/>
          <w:sz w:val="22"/>
        </w:rPr>
        <w:fldChar w:fldCharType="separate"/>
      </w:r>
      <w:r w:rsidR="00936FF9" w:rsidRPr="00DD4652">
        <w:rPr>
          <w:rFonts w:eastAsia="Times New Roman"/>
          <w:color w:val="000000"/>
          <w:sz w:val="22"/>
        </w:rPr>
        <w:t>(</w:t>
      </w:r>
      <w:hyperlink w:anchor="_ENREF_33" w:tooltip="Puspita, 2025 #10262" w:history="1">
        <w:r w:rsidR="00936FF9" w:rsidRPr="00DD4652">
          <w:rPr>
            <w:rStyle w:val="Hyperlink"/>
            <w:rFonts w:eastAsia="Times New Roman"/>
            <w:sz w:val="22"/>
          </w:rPr>
          <w:t>Puspita, Yahya, Adha, &amp; Juliandari, 2025</w:t>
        </w:r>
      </w:hyperlink>
      <w:r w:rsidR="00936FF9" w:rsidRPr="00DD4652">
        <w:rPr>
          <w:rFonts w:eastAsia="Times New Roman"/>
          <w:color w:val="000000"/>
          <w:sz w:val="22"/>
        </w:rPr>
        <w:t xml:space="preserve">; </w:t>
      </w:r>
      <w:hyperlink w:anchor="_ENREF_34" w:tooltip="Riyanti, 2025 #10228" w:history="1">
        <w:r w:rsidR="00936FF9" w:rsidRPr="00DD4652">
          <w:rPr>
            <w:rStyle w:val="Hyperlink"/>
            <w:rFonts w:eastAsia="Times New Roman"/>
            <w:sz w:val="22"/>
          </w:rPr>
          <w:t>Riyanti, Wulandari, Prijadi, &amp; Tortosa-Ausina, 2025</w:t>
        </w:r>
      </w:hyperlink>
      <w:r w:rsidR="00936FF9" w:rsidRPr="00DD4652">
        <w:rPr>
          <w:rFonts w:eastAsia="Times New Roman"/>
          <w:color w:val="000000"/>
          <w:sz w:val="22"/>
        </w:rPr>
        <w:t>)</w:t>
      </w:r>
      <w:r w:rsidR="000D41A4" w:rsidRPr="00DD4652">
        <w:rPr>
          <w:rFonts w:eastAsia="Times New Roman"/>
          <w:color w:val="000000"/>
          <w:sz w:val="22"/>
        </w:rPr>
        <w:fldChar w:fldCharType="end"/>
      </w:r>
      <w:r w:rsidRPr="00DD4652">
        <w:rPr>
          <w:rFonts w:eastAsia="Times New Roman"/>
          <w:sz w:val="22"/>
        </w:rPr>
        <w:t>.</w:t>
      </w:r>
    </w:p>
    <w:p w14:paraId="706EC202" w14:textId="45C5DB1A" w:rsidR="002A62CD" w:rsidRPr="00DD4652" w:rsidRDefault="002A62CD" w:rsidP="00917C19">
      <w:pPr>
        <w:spacing w:line="240" w:lineRule="auto"/>
        <w:ind w:firstLine="540"/>
        <w:jc w:val="both"/>
        <w:rPr>
          <w:sz w:val="22"/>
        </w:rPr>
      </w:pPr>
      <w:r w:rsidRPr="00DD4652">
        <w:rPr>
          <w:rFonts w:eastAsia="Times New Roman"/>
          <w:sz w:val="22"/>
        </w:rPr>
        <w:t>The dynamics of Indonesian banking profitability during the 2021</w:t>
      </w:r>
      <w:r w:rsidR="00B3266D">
        <w:rPr>
          <w:rFonts w:eastAsia="Times New Roman"/>
          <w:sz w:val="22"/>
        </w:rPr>
        <w:t>-</w:t>
      </w:r>
      <w:r w:rsidRPr="00DD4652">
        <w:rPr>
          <w:rFonts w:eastAsia="Times New Roman"/>
          <w:sz w:val="22"/>
        </w:rPr>
        <w:t>2024 period reveal an interesting phenomenon worth examining. Based on Indonesian Banking Statistics, the average ROA of conventional commercial banks moved from 1.85% in 2021 to 2.45% in 2022, peaking at 2.78% in 2023, before correcting to 2.72% in 2024. At the same time, the global sustainable development agenda through the Sustainable Development Goals (SDGs) 2030 and the Paris Agreement encourages the financial sector to channel investment flows toward a low-carbon economy</w:t>
      </w:r>
      <w:r w:rsidR="00D9332F" w:rsidRPr="00DD4652">
        <w:rPr>
          <w:rFonts w:eastAsia="Times New Roman"/>
          <w:color w:val="000000"/>
          <w:sz w:val="22"/>
        </w:rPr>
        <w:t xml:space="preserve"> </w:t>
      </w:r>
      <w:r w:rsidR="00D9332F" w:rsidRPr="00DD4652">
        <w:rPr>
          <w:rFonts w:eastAsia="Times New Roman"/>
          <w:color w:val="000000"/>
          <w:sz w:val="22"/>
        </w:rPr>
        <w:fldChar w:fldCharType="begin"/>
      </w:r>
      <w:r w:rsidR="00D9332F" w:rsidRPr="00DD4652">
        <w:rPr>
          <w:rFonts w:eastAsia="Times New Roman"/>
          <w:color w:val="000000"/>
          <w:sz w:val="22"/>
        </w:rPr>
        <w:instrText xml:space="preserve"> ADDIN EN.CITE &lt;EndNote&gt;&lt;Cite&gt;&lt;Author&gt;Mirza&lt;/Author&gt;&lt;Year&gt;2023&lt;/Year&gt;&lt;RecNum&gt;10233&lt;/RecNum&gt;&lt;DisplayText&gt;(Mirza, Afzal, Umar, &amp;amp; Skare,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EndNote&gt;</w:instrText>
      </w:r>
      <w:r w:rsidR="00D9332F" w:rsidRPr="00DD4652">
        <w:rPr>
          <w:rFonts w:eastAsia="Times New Roman"/>
          <w:color w:val="000000"/>
          <w:sz w:val="22"/>
        </w:rPr>
        <w:fldChar w:fldCharType="separate"/>
      </w:r>
      <w:r w:rsidR="00D9332F" w:rsidRPr="00DD4652">
        <w:rPr>
          <w:rFonts w:eastAsia="Times New Roman"/>
          <w:color w:val="000000"/>
          <w:sz w:val="22"/>
        </w:rPr>
        <w:t>(</w:t>
      </w:r>
      <w:hyperlink w:anchor="_ENREF_26" w:tooltip="Mirza, 2023 #10233" w:history="1">
        <w:r w:rsidR="00D9332F" w:rsidRPr="00DD4652">
          <w:rPr>
            <w:rStyle w:val="Hyperlink"/>
            <w:rFonts w:eastAsia="Times New Roman"/>
            <w:sz w:val="22"/>
          </w:rPr>
          <w:t>Mirza, Afzal, Umar, &amp; Skare, 2023</w:t>
        </w:r>
      </w:hyperlink>
      <w:r w:rsidR="00D9332F" w:rsidRPr="00DD4652">
        <w:rPr>
          <w:rFonts w:eastAsia="Times New Roman"/>
          <w:color w:val="000000"/>
          <w:sz w:val="22"/>
        </w:rPr>
        <w:t>)</w:t>
      </w:r>
      <w:r w:rsidR="00D9332F" w:rsidRPr="00DD4652">
        <w:rPr>
          <w:rFonts w:eastAsia="Times New Roman"/>
          <w:color w:val="000000"/>
          <w:sz w:val="22"/>
        </w:rPr>
        <w:fldChar w:fldCharType="end"/>
      </w:r>
      <w:r w:rsidRPr="00DD4652">
        <w:rPr>
          <w:rFonts w:eastAsia="Times New Roman"/>
          <w:sz w:val="22"/>
        </w:rPr>
        <w:t xml:space="preserve">. </w:t>
      </w:r>
      <w:hyperlink w:anchor="_ENREF_1" w:tooltip="Akomea-Frimpong, 2022 #10239" w:history="1">
        <w:r w:rsidR="00936FF9" w:rsidRPr="00DD4652">
          <w:rPr>
            <w:rStyle w:val="Hyperlink"/>
            <w:rFonts w:eastAsia="Times New Roman"/>
            <w:sz w:val="22"/>
          </w:rPr>
          <w:fldChar w:fldCharType="begin"/>
        </w:r>
        <w:r w:rsidR="00936FF9" w:rsidRPr="00DD4652">
          <w:rPr>
            <w:rStyle w:val="Hyperlink"/>
            <w:rFonts w:eastAsia="Times New Roman"/>
            <w:sz w:val="22"/>
          </w:rPr>
          <w:instrText xml:space="preserve"> ADDIN EN.CITE &lt;EndNote&gt;&lt;Cite AuthorYear="1"&gt;&lt;Author&gt;Akomea-Frimpong&lt;/Author&gt;&lt;Year&gt;2022&lt;/Year&gt;&lt;RecNum&gt;10239&lt;/RecNum&gt;&lt;DisplayText&gt;Akomea-Frimpong, Adeabah, Ofosu, and Tenakwah (2022)&lt;/DisplayText&gt;&lt;record&gt;&lt;rec-number&gt;10239&lt;/rec-number&gt;&lt;foreign-keys&gt;&lt;key app="EN" db-id="x5ezdazsa9zseqe5esy5zw9wxe95pawf2e0d" timestamp="1784694000"&gt;10239&lt;/key&gt;&lt;/foreign-keys&gt;&lt;ref-type name="Journal Article"&gt;17&lt;/ref-type&gt;&lt;contributors&gt;&lt;authors&gt;&lt;author&gt;Akomea-Frimpong, Isaac&lt;/author&gt;&lt;author&gt;Adeabah, David&lt;/author&gt;&lt;author&gt;Ofosu, Deborah&lt;/author&gt;&lt;author&gt;Tenakwah, Emmanuel Junior&lt;/author&gt;&lt;/authors&gt;&lt;/contributors&gt;&lt;titles&gt;&lt;title&gt;A review of studies on green finance of banks, research gaps and future directions&lt;/title&gt;&lt;secondary-title&gt;Journal of Sustainable Finance &amp;amp; Investment&lt;/secondary-title&gt;&lt;/titles&gt;&lt;periodical&gt;&lt;full-title&gt;Journal of Sustainable Finance &amp;amp; Investment&lt;/full-title&gt;&lt;/periodical&gt;&lt;pages&gt;1241-1264&lt;/pages&gt;&lt;volume&gt;12&lt;/volume&gt;&lt;number&gt;4&lt;/number&gt;&lt;dates&gt;&lt;year&gt;2022&lt;/year&gt;&lt;/dates&gt;&lt;isbn&gt;2043-0795&lt;/isbn&gt;&lt;urls&gt;&lt;/urls&gt;&lt;electronic-resource-num&gt;https://doi.org/10.1080/20430795.2020.1870202&lt;/electronic-resource-num&gt;&lt;/record&gt;&lt;/Cite&gt;&lt;/EndNote&gt;</w:instrText>
        </w:r>
        <w:r w:rsidR="00936FF9" w:rsidRPr="00DD4652">
          <w:rPr>
            <w:rStyle w:val="Hyperlink"/>
            <w:rFonts w:eastAsia="Times New Roman"/>
            <w:sz w:val="22"/>
          </w:rPr>
          <w:fldChar w:fldCharType="separate"/>
        </w:r>
        <w:r w:rsidR="00936FF9" w:rsidRPr="00DD4652">
          <w:rPr>
            <w:rStyle w:val="Hyperlink"/>
            <w:rFonts w:eastAsia="Times New Roman"/>
            <w:sz w:val="22"/>
          </w:rPr>
          <w:t>Akomea-Frimpong, Adeabah, Ofosu, and Tenakwah (2022)</w:t>
        </w:r>
        <w:r w:rsidR="00936FF9" w:rsidRPr="00DD4652">
          <w:rPr>
            <w:rStyle w:val="Hyperlink"/>
            <w:rFonts w:eastAsia="Times New Roman"/>
            <w:sz w:val="22"/>
          </w:rPr>
          <w:fldChar w:fldCharType="end"/>
        </w:r>
      </w:hyperlink>
      <w:r w:rsidR="00936FF9" w:rsidRPr="00DD4652">
        <w:rPr>
          <w:rFonts w:eastAsia="Times New Roman"/>
          <w:sz w:val="22"/>
        </w:rPr>
        <w:t xml:space="preserve"> </w:t>
      </w:r>
      <w:r w:rsidR="0029735A" w:rsidRPr="00DD4652">
        <w:rPr>
          <w:rFonts w:eastAsia="Times New Roman"/>
          <w:sz w:val="22"/>
        </w:rPr>
        <w:t>emphasize that banks now play a central role in financing the transition toward a low-carbon economy through green credit instruments, financial-system alignment with sustainability goals can be an important driver of long-term productive investment. The expansion of green-bond and green-credit markets in emerging economies, as documented by</w:t>
      </w:r>
      <w:r w:rsidR="00440AD8" w:rsidRPr="00DD4652">
        <w:rPr>
          <w:rFonts w:eastAsia="Times New Roman"/>
          <w:color w:val="000000"/>
          <w:sz w:val="22"/>
        </w:rPr>
        <w:t xml:space="preserve"> </w:t>
      </w:r>
      <w:hyperlink w:anchor="_ENREF_3" w:tooltip="Anh Tu, 2020 #10241" w:history="1">
        <w:r w:rsidR="00440AD8" w:rsidRPr="00DD4652">
          <w:rPr>
            <w:rStyle w:val="Hyperlink"/>
            <w:rFonts w:eastAsia="Times New Roman"/>
            <w:sz w:val="22"/>
          </w:rPr>
          <w:fldChar w:fldCharType="begin"/>
        </w:r>
        <w:r w:rsidR="00440AD8" w:rsidRPr="00DD4652">
          <w:rPr>
            <w:rStyle w:val="Hyperlink"/>
            <w:rFonts w:eastAsia="Times New Roman"/>
            <w:sz w:val="22"/>
          </w:rPr>
          <w:instrText xml:space="preserve"> ADDIN EN.CITE &lt;EndNote&gt;&lt;Cite AuthorYear="1"&gt;&lt;Author&gt;Anh Tu&lt;/Author&gt;&lt;Year&gt;2020&lt;/Year&gt;&lt;RecNum&gt;10241&lt;/RecNum&gt;&lt;DisplayText&gt;Anh Tu, Sarker, and Rasoulinezhad (2020)&lt;/DisplayText&gt;&lt;record&gt;&lt;rec-number&gt;10241&lt;/rec-number&gt;&lt;foreign-keys&gt;&lt;key app="EN" db-id="x5ezdazsa9zseqe5esy5zw9wxe95pawf2e0d" timestamp="1784694241"&gt;10241&lt;/key&gt;&lt;/foreign-keys&gt;&lt;ref-type name="Journal Article"&gt;17&lt;/ref-type&gt;&lt;contributors&gt;&lt;authors&gt;&lt;author&gt;Anh Tu, Chuc&lt;/author&gt;&lt;author&gt;Sarker, Tapan&lt;/author&gt;&lt;author&gt;Rasoulinezhad, Ehsan&lt;/author&gt;&lt;/authors&gt;&lt;/contributors&gt;&lt;titles&gt;&lt;title&gt;Factors influencing the green bond market expansion: Evidence from a multi-dimensional analysis&lt;/title&gt;&lt;secondary-title&gt;Journal of Risk and Financial Management&lt;/secondary-title&gt;&lt;/titles&gt;&lt;periodical&gt;&lt;full-title&gt;Journal of Risk and Financial Management&lt;/full-title&gt;&lt;/periodical&gt;&lt;pages&gt;126&lt;/pages&gt;&lt;volume&gt;13&lt;/volume&gt;&lt;number&gt;6&lt;/number&gt;&lt;dates&gt;&lt;year&gt;2020&lt;/year&gt;&lt;/dates&gt;&lt;isbn&gt;1911-8074&lt;/isbn&gt;&lt;urls&gt;&lt;/urls&gt;&lt;electronic-resource-num&gt;https://doi.org/10.3390/jrfm13060126&lt;/electronic-resource-num&gt;&lt;/record&gt;&lt;/Cite&gt;&lt;/EndNote&gt;</w:instrText>
        </w:r>
        <w:r w:rsidR="00440AD8" w:rsidRPr="00DD4652">
          <w:rPr>
            <w:rStyle w:val="Hyperlink"/>
            <w:rFonts w:eastAsia="Times New Roman"/>
            <w:sz w:val="22"/>
          </w:rPr>
          <w:fldChar w:fldCharType="separate"/>
        </w:r>
        <w:r w:rsidR="00440AD8" w:rsidRPr="00DD4652">
          <w:rPr>
            <w:rStyle w:val="Hyperlink"/>
            <w:rFonts w:eastAsia="Times New Roman"/>
            <w:sz w:val="22"/>
          </w:rPr>
          <w:t>Anh Tu, Sarker, and Rasoulinezhad (2020)</w:t>
        </w:r>
        <w:r w:rsidR="00440AD8" w:rsidRPr="00DD4652">
          <w:rPr>
            <w:rStyle w:val="Hyperlink"/>
            <w:rFonts w:eastAsia="Times New Roman"/>
            <w:sz w:val="22"/>
          </w:rPr>
          <w:fldChar w:fldCharType="end"/>
        </w:r>
      </w:hyperlink>
      <w:r w:rsidR="0029735A" w:rsidRPr="00DD4652">
        <w:rPr>
          <w:rFonts w:eastAsia="Times New Roman"/>
          <w:sz w:val="22"/>
        </w:rPr>
        <w:t>, further illustrates how sustainable finance has evolved from a peripheral concern into a core pillar of contemporary banking strategy.</w:t>
      </w:r>
      <w:r w:rsidR="00F47710" w:rsidRPr="00DD4652">
        <w:rPr>
          <w:rFonts w:eastAsia="Times New Roman"/>
          <w:sz w:val="22"/>
        </w:rPr>
        <w:t xml:space="preserve"> </w:t>
      </w:r>
      <w:hyperlink w:anchor="_ENREF_20" w:tooltip="Kashif, 2025 #10236" w:history="1">
        <w:r w:rsidR="00F47710" w:rsidRPr="00DD4652">
          <w:rPr>
            <w:rStyle w:val="Hyperlink"/>
            <w:rFonts w:eastAsia="Times New Roman"/>
            <w:sz w:val="22"/>
          </w:rPr>
          <w:fldChar w:fldCharType="begin"/>
        </w:r>
        <w:r w:rsidR="00F47710" w:rsidRPr="00DD4652">
          <w:rPr>
            <w:rStyle w:val="Hyperlink"/>
            <w:rFonts w:eastAsia="Times New Roman"/>
            <w:sz w:val="22"/>
          </w:rPr>
          <w:instrText xml:space="preserve"> ADDIN EN.CITE &lt;EndNote&gt;&lt;Cite AuthorYear="1"&gt;&lt;Author&gt;Kashif&lt;/Author&gt;&lt;Year&gt;2025&lt;/Year&gt;&lt;RecNum&gt;10236&lt;/RecNum&gt;&lt;DisplayText&gt;Kashif, Pinglu, Ullah, and Qian (2025)&lt;/DisplayText&gt;&lt;record&gt;&lt;rec-number&gt;10236&lt;/rec-number&gt;&lt;foreign-keys&gt;&lt;key app="EN" db-id="x5ezdazsa9zseqe5esy5zw9wxe95pawf2e0d" timestamp="1784693697"&gt;10236&lt;/key&gt;&lt;/foreign-keys&gt;&lt;ref-type name="Journal Article"&gt;17&lt;/ref-type&gt;&lt;contributors&gt;&lt;authors&gt;&lt;author&gt;Kashif, Muhammad&lt;/author&gt;&lt;author&gt;Pinglu, Chen&lt;/author&gt;&lt;author&gt;Ullah, Atta&lt;/author&gt;&lt;author&gt;Qian, Ningyu&lt;/author&gt;&lt;/authors&gt;&lt;/contributors&gt;&lt;titles&gt;&lt;title&gt;The impact of green finance and FinTech mechanisms on financial stability: evidence from advanced and emerging economies&lt;/title&gt;&lt;secondary-title&gt;China Finance Review International&lt;/secondary-title&gt;&lt;/titles&gt;&lt;periodical&gt;&lt;full-title&gt;China Finance Review International&lt;/full-title&gt;&lt;/periodical&gt;&lt;dates&gt;&lt;year&gt;2025&lt;/year&gt;&lt;/dates&gt;&lt;isbn&gt;2044-1398&lt;/isbn&gt;&lt;urls&gt;&lt;/urls&gt;&lt;electronic-resource-num&gt;https://doi.org/10.1108/CFRI-07-2024-0393&lt;/electronic-resource-num&gt;&lt;/record&gt;&lt;/Cite&gt;&lt;/EndNote&gt;</w:instrText>
        </w:r>
        <w:r w:rsidR="00F47710" w:rsidRPr="00DD4652">
          <w:rPr>
            <w:rStyle w:val="Hyperlink"/>
            <w:rFonts w:eastAsia="Times New Roman"/>
            <w:sz w:val="22"/>
          </w:rPr>
          <w:fldChar w:fldCharType="separate"/>
        </w:r>
        <w:r w:rsidR="00F47710" w:rsidRPr="00DD4652">
          <w:rPr>
            <w:rStyle w:val="Hyperlink"/>
            <w:rFonts w:eastAsia="Times New Roman"/>
            <w:sz w:val="22"/>
          </w:rPr>
          <w:t>Kashif, Pinglu, Ullah, and Qian (2025)</w:t>
        </w:r>
        <w:r w:rsidR="00F47710" w:rsidRPr="00DD4652">
          <w:rPr>
            <w:rStyle w:val="Hyperlink"/>
            <w:rFonts w:eastAsia="Times New Roman"/>
            <w:sz w:val="22"/>
          </w:rPr>
          <w:fldChar w:fldCharType="end"/>
        </w:r>
      </w:hyperlink>
      <w:r w:rsidR="00A94C74" w:rsidRPr="00DD4652">
        <w:rPr>
          <w:rFonts w:eastAsia="Times New Roman"/>
          <w:sz w:val="22"/>
        </w:rPr>
        <w:t xml:space="preserve"> and </w:t>
      </w:r>
      <w:hyperlink w:anchor="_ENREF_32" w:tooltip="Park, 2020 #10229" w:history="1">
        <w:r w:rsidR="00136EE2" w:rsidRPr="00DD4652">
          <w:rPr>
            <w:rStyle w:val="Hyperlink"/>
            <w:rFonts w:eastAsia="Times New Roman"/>
            <w:sz w:val="22"/>
          </w:rPr>
          <w:fldChar w:fldCharType="begin"/>
        </w:r>
        <w:r w:rsidR="00136EE2" w:rsidRPr="00DD4652">
          <w:rPr>
            <w:rStyle w:val="Hyperlink"/>
            <w:rFonts w:eastAsia="Times New Roman"/>
            <w:sz w:val="22"/>
          </w:rPr>
          <w:instrText xml:space="preserve"> ADDIN EN.CITE &lt;EndNote&gt;&lt;Cite AuthorYear="1"&gt;&lt;Author&gt;Park&lt;/Author&gt;&lt;Year&gt;2020&lt;/Year&gt;&lt;RecNum&gt;10229&lt;/RecNum&gt;&lt;DisplayText&gt;Park and Kim (2020)&lt;/DisplayText&gt;&lt;record&gt;&lt;rec-number&gt;10229&lt;/rec-number&gt;&lt;foreign-keys&gt;&lt;key app="EN" db-id="x5ezdazsa9zseqe5esy5zw9wxe95pawf2e0d" timestamp="1784692871"&gt;10229&lt;/key&gt;&lt;/foreign-keys&gt;&lt;ref-type name="Journal Article"&gt;17&lt;/ref-type&gt;&lt;contributors&gt;&lt;authors&gt;&lt;author&gt;Park, Hyoungkun&lt;/author&gt;&lt;author&gt;Kim, Jong Dae&lt;/author&gt;&lt;/authors&gt;&lt;/contributors&gt;&lt;titles&gt;&lt;title&gt;Transition towards green banking: role of financial regulators and financial institutions&lt;/title&gt;&lt;secondary-title&gt;Asian Journal of Sustainability and Social Responsibility&lt;/secondary-title&gt;&lt;/titles&gt;&lt;periodical&gt;&lt;full-title&gt;Asian Journal of Sustainability and Social Responsibility&lt;/full-title&gt;&lt;/periodical&gt;&lt;pages&gt;1-25&lt;/pages&gt;&lt;volume&gt;5&lt;/volume&gt;&lt;number&gt;1&lt;/number&gt;&lt;dates&gt;&lt;year&gt;2020&lt;/year&gt;&lt;/dates&gt;&lt;isbn&gt;2365-6417&lt;/isbn&gt;&lt;urls&gt;&lt;/urls&gt;&lt;electronic-resource-num&gt;https://doi.org/10.1186/s41180-020-00034-3&lt;/electronic-resource-num&gt;&lt;/record&gt;&lt;/Cite&gt;&lt;/EndNote&gt;</w:instrText>
        </w:r>
        <w:r w:rsidR="00136EE2" w:rsidRPr="00DD4652">
          <w:rPr>
            <w:rStyle w:val="Hyperlink"/>
            <w:rFonts w:eastAsia="Times New Roman"/>
            <w:sz w:val="22"/>
          </w:rPr>
          <w:fldChar w:fldCharType="separate"/>
        </w:r>
        <w:r w:rsidR="00136EE2" w:rsidRPr="00DD4652">
          <w:rPr>
            <w:rStyle w:val="Hyperlink"/>
            <w:rFonts w:eastAsia="Times New Roman"/>
            <w:sz w:val="22"/>
          </w:rPr>
          <w:t>Park and Kim (2020)</w:t>
        </w:r>
        <w:r w:rsidR="00136EE2" w:rsidRPr="00DD4652">
          <w:rPr>
            <w:rStyle w:val="Hyperlink"/>
            <w:rFonts w:eastAsia="Times New Roman"/>
            <w:sz w:val="22"/>
          </w:rPr>
          <w:fldChar w:fldCharType="end"/>
        </w:r>
      </w:hyperlink>
      <w:r w:rsidR="00A94C74" w:rsidRPr="00DD4652">
        <w:rPr>
          <w:rFonts w:eastAsia="Times New Roman"/>
          <w:sz w:val="22"/>
        </w:rPr>
        <w:t xml:space="preserve"> confirm that green</w:t>
      </w:r>
      <w:r w:rsidR="004E3A6C" w:rsidRPr="00DD4652">
        <w:rPr>
          <w:rFonts w:eastAsia="Times New Roman"/>
          <w:sz w:val="22"/>
        </w:rPr>
        <w:t xml:space="preserve"> </w:t>
      </w:r>
      <w:r w:rsidR="00A94C74" w:rsidRPr="00DD4652">
        <w:rPr>
          <w:rFonts w:eastAsia="Times New Roman"/>
          <w:sz w:val="22"/>
        </w:rPr>
        <w:t>finance instruments have become a structural feature of bank balance sheets across both developed and developing economies.</w:t>
      </w:r>
      <w:r w:rsidR="005E33E3" w:rsidRPr="00DD4652">
        <w:rPr>
          <w:rFonts w:eastAsia="Times New Roman"/>
          <w:sz w:val="22"/>
        </w:rPr>
        <w:t xml:space="preserve"> </w:t>
      </w:r>
      <w:r w:rsidRPr="00DD4652">
        <w:rPr>
          <w:rFonts w:eastAsia="Times New Roman"/>
          <w:sz w:val="22"/>
        </w:rPr>
        <w:t xml:space="preserve">In Indonesia, this mandate is translated </w:t>
      </w:r>
      <w:r w:rsidRPr="00DD4652">
        <w:rPr>
          <w:rFonts w:eastAsia="Times New Roman"/>
          <w:i/>
          <w:iCs/>
          <w:sz w:val="22"/>
        </w:rPr>
        <w:t xml:space="preserve">through </w:t>
      </w:r>
      <w:proofErr w:type="spellStart"/>
      <w:r w:rsidR="00DD4652" w:rsidRPr="00DD4652">
        <w:rPr>
          <w:rFonts w:eastAsia="Times New Roman"/>
          <w:i/>
          <w:iCs/>
          <w:sz w:val="22"/>
        </w:rPr>
        <w:t>Peraturan</w:t>
      </w:r>
      <w:proofErr w:type="spellEnd"/>
      <w:r w:rsidR="00DD4652" w:rsidRPr="00DD4652">
        <w:rPr>
          <w:rFonts w:eastAsia="Times New Roman"/>
          <w:i/>
          <w:iCs/>
          <w:sz w:val="22"/>
        </w:rPr>
        <w:t xml:space="preserve"> </w:t>
      </w:r>
      <w:proofErr w:type="spellStart"/>
      <w:r w:rsidR="00DD4652" w:rsidRPr="00DD4652">
        <w:rPr>
          <w:rFonts w:eastAsia="Times New Roman"/>
          <w:i/>
          <w:iCs/>
          <w:sz w:val="22"/>
        </w:rPr>
        <w:t>Otoritas</w:t>
      </w:r>
      <w:proofErr w:type="spellEnd"/>
      <w:r w:rsidR="00DD4652" w:rsidRPr="00DD4652">
        <w:rPr>
          <w:rFonts w:eastAsia="Times New Roman"/>
          <w:i/>
          <w:iCs/>
          <w:sz w:val="22"/>
        </w:rPr>
        <w:t xml:space="preserve"> Jasa </w:t>
      </w:r>
      <w:proofErr w:type="spellStart"/>
      <w:r w:rsidR="00DD4652" w:rsidRPr="00DD4652">
        <w:rPr>
          <w:rFonts w:eastAsia="Times New Roman"/>
          <w:i/>
          <w:iCs/>
          <w:sz w:val="22"/>
        </w:rPr>
        <w:t>Keunagan</w:t>
      </w:r>
      <w:proofErr w:type="spellEnd"/>
      <w:r w:rsidR="00DD4652">
        <w:rPr>
          <w:rFonts w:eastAsia="Times New Roman"/>
          <w:sz w:val="22"/>
        </w:rPr>
        <w:t xml:space="preserve"> (</w:t>
      </w:r>
      <w:r w:rsidRPr="00DD4652">
        <w:rPr>
          <w:rFonts w:eastAsia="Times New Roman"/>
          <w:sz w:val="22"/>
        </w:rPr>
        <w:t>POJK</w:t>
      </w:r>
      <w:r w:rsidR="00DD4652">
        <w:rPr>
          <w:rFonts w:eastAsia="Times New Roman"/>
          <w:sz w:val="22"/>
        </w:rPr>
        <w:t>)</w:t>
      </w:r>
      <w:r w:rsidRPr="00DD4652">
        <w:rPr>
          <w:rFonts w:eastAsia="Times New Roman"/>
          <w:sz w:val="22"/>
        </w:rPr>
        <w:t xml:space="preserve"> No. 51/POJK.03/2017 on the Implementation of Sustainable Finance, which obliges financial-services institutions to integrate Environmental, Social, </w:t>
      </w:r>
      <w:r w:rsidRPr="00DD4652">
        <w:rPr>
          <w:rFonts w:eastAsia="Times New Roman"/>
          <w:sz w:val="22"/>
        </w:rPr>
        <w:lastRenderedPageBreak/>
        <w:t>and Governance (ESG) aspects into their operational activities</w:t>
      </w:r>
      <w:r w:rsidR="000343D7" w:rsidRPr="00DD4652">
        <w:rPr>
          <w:rFonts w:eastAsia="Times New Roman"/>
          <w:color w:val="000000"/>
          <w:sz w:val="22"/>
        </w:rPr>
        <w:t xml:space="preserve"> </w:t>
      </w:r>
      <w:r w:rsidR="000343D7" w:rsidRPr="00DD4652">
        <w:rPr>
          <w:rFonts w:eastAsia="Times New Roman"/>
          <w:color w:val="000000"/>
          <w:sz w:val="22"/>
        </w:rPr>
        <w:fldChar w:fldCharType="begin"/>
      </w:r>
      <w:r w:rsidR="000D41A4" w:rsidRPr="00DD4652">
        <w:rPr>
          <w:rFonts w:eastAsia="Times New Roman"/>
          <w:color w:val="000000"/>
          <w:sz w:val="22"/>
        </w:rPr>
        <w:instrText xml:space="preserve"> ADDIN EN.CITE &lt;EndNote&gt;&lt;Cite&gt;&lt;Author&gt;Sutrisno&lt;/Author&gt;&lt;Year&gt;2024&lt;/Year&gt;&lt;RecNum&gt;10222&lt;/RecNum&gt;&lt;DisplayText&gt;(Riyanti et al., 2025; Sutrisno, Widarjono, &amp;amp; Hakim,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Cite&gt;&lt;Author&gt;Riyanti&lt;/Author&gt;&lt;Year&gt;2025&lt;/Year&gt;&lt;RecNum&gt;10228&lt;/RecNum&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EndNote&gt;</w:instrText>
      </w:r>
      <w:r w:rsidR="000343D7" w:rsidRPr="00DD4652">
        <w:rPr>
          <w:rFonts w:eastAsia="Times New Roman"/>
          <w:color w:val="000000"/>
          <w:sz w:val="22"/>
        </w:rPr>
        <w:fldChar w:fldCharType="separate"/>
      </w:r>
      <w:r w:rsidR="000D41A4" w:rsidRPr="00DD4652">
        <w:rPr>
          <w:rFonts w:eastAsia="Times New Roman"/>
          <w:color w:val="000000"/>
          <w:sz w:val="22"/>
        </w:rPr>
        <w:t>(</w:t>
      </w:r>
      <w:hyperlink w:anchor="_ENREF_34" w:tooltip="Riyanti, 2025 #10228" w:history="1">
        <w:r w:rsidR="000D41A4" w:rsidRPr="00DD4652">
          <w:rPr>
            <w:rStyle w:val="Hyperlink"/>
            <w:rFonts w:eastAsia="Times New Roman"/>
            <w:sz w:val="22"/>
          </w:rPr>
          <w:t>Riyanti et al., 2025</w:t>
        </w:r>
      </w:hyperlink>
      <w:r w:rsidR="000D41A4" w:rsidRPr="00DD4652">
        <w:rPr>
          <w:rFonts w:eastAsia="Times New Roman"/>
          <w:color w:val="000000"/>
          <w:sz w:val="22"/>
        </w:rPr>
        <w:t xml:space="preserve">; </w:t>
      </w:r>
      <w:hyperlink w:anchor="_ENREF_40" w:tooltip="Sutrisno, 2024 #10222" w:history="1">
        <w:r w:rsidR="000D41A4" w:rsidRPr="00DD4652">
          <w:rPr>
            <w:rStyle w:val="Hyperlink"/>
            <w:rFonts w:eastAsia="Times New Roman"/>
            <w:sz w:val="22"/>
          </w:rPr>
          <w:t>Sutrisno, Widarjono, &amp; Hakim, 2024</w:t>
        </w:r>
      </w:hyperlink>
      <w:r w:rsidR="000D41A4" w:rsidRPr="00DD4652">
        <w:rPr>
          <w:rFonts w:eastAsia="Times New Roman"/>
          <w:color w:val="000000"/>
          <w:sz w:val="22"/>
        </w:rPr>
        <w:t>)</w:t>
      </w:r>
      <w:r w:rsidR="000343D7" w:rsidRPr="00DD4652">
        <w:rPr>
          <w:rFonts w:eastAsia="Times New Roman"/>
          <w:color w:val="000000"/>
          <w:sz w:val="22"/>
        </w:rPr>
        <w:fldChar w:fldCharType="end"/>
      </w:r>
      <w:r w:rsidRPr="00DD4652">
        <w:rPr>
          <w:rFonts w:eastAsia="Times New Roman"/>
          <w:sz w:val="22"/>
        </w:rPr>
        <w:t xml:space="preserve">. Indonesia's total sustainable banking credit grew consistently from IDR 1,409 trillion in 2021 to IDR 2,075 trillion in </w:t>
      </w:r>
      <w:r w:rsidR="00DD4652" w:rsidRPr="00DD4652">
        <w:rPr>
          <w:rFonts w:eastAsia="Times New Roman"/>
          <w:sz w:val="22"/>
        </w:rPr>
        <w:t>2024,</w:t>
      </w:r>
      <w:r w:rsidRPr="00DD4652">
        <w:rPr>
          <w:rFonts w:eastAsia="Times New Roman"/>
          <w:sz w:val="22"/>
        </w:rPr>
        <w:t xml:space="preserve"> indicating that green credit has become an integral part of the national banking intermediation strategy.</w:t>
      </w:r>
    </w:p>
    <w:p w14:paraId="6415BD1D" w14:textId="3665D514" w:rsidR="002A62CD" w:rsidRPr="00DD4652" w:rsidRDefault="002A62CD" w:rsidP="00917C19">
      <w:pPr>
        <w:spacing w:line="240" w:lineRule="auto"/>
        <w:ind w:firstLine="540"/>
        <w:jc w:val="both"/>
        <w:rPr>
          <w:sz w:val="22"/>
        </w:rPr>
      </w:pPr>
      <w:r w:rsidRPr="00DD4652">
        <w:rPr>
          <w:rFonts w:eastAsia="Times New Roman"/>
          <w:sz w:val="22"/>
        </w:rPr>
        <w:t>This phenomenon raises issues within the financial industry, particularly regarding banks' financial performance. On the one hand, banks are required to maintain profitability amid increasingly intense competition and rising efficiency demands</w:t>
      </w:r>
      <w:r w:rsidR="00D2026B" w:rsidRPr="00DD4652">
        <w:rPr>
          <w:rFonts w:eastAsia="Times New Roman"/>
          <w:sz w:val="22"/>
        </w:rPr>
        <w:t xml:space="preserve"> </w:t>
      </w:r>
      <w:r w:rsidR="00D2026B" w:rsidRPr="00DD4652">
        <w:rPr>
          <w:rFonts w:eastAsia="Times New Roman"/>
          <w:sz w:val="22"/>
        </w:rPr>
        <w:fldChar w:fldCharType="begin"/>
      </w:r>
      <w:r w:rsidR="00D2026B" w:rsidRPr="00DD4652">
        <w:rPr>
          <w:rFonts w:eastAsia="Times New Roman"/>
          <w:sz w:val="22"/>
        </w:rPr>
        <w:instrText xml:space="preserve"> ADDIN EN.CITE &lt;EndNote&gt;&lt;Cite&gt;&lt;Author&gt;Shalahuddin&lt;/Author&gt;&lt;Year&gt;2025&lt;/Year&gt;&lt;RecNum&gt;10263&lt;/RecNum&gt;&lt;DisplayText&gt;(Shalahuddin, Aswan, Abdullah, Jimainal, &amp;amp; Yusof, 2025)&lt;/DisplayText&gt;&lt;record&gt;&lt;rec-number&gt;10263&lt;/rec-number&gt;&lt;foreign-keys&gt;&lt;key app="EN" db-id="x5ezdazsa9zseqe5esy5zw9wxe95pawf2e0d" timestamp="1784701759"&gt;10263&lt;/key&gt;&lt;/foreign-keys&gt;&lt;ref-type name="Journal Article"&gt;17&lt;/ref-type&gt;&lt;contributors&gt;&lt;authors&gt;&lt;author&gt;Shalahuddin, Shalahuddin&lt;/author&gt;&lt;author&gt;Aswan, Aswan&lt;/author&gt;&lt;author&gt;Abdullah, Ahmad Shakani&lt;/author&gt;&lt;author&gt;Jimainal, Mohd Noor Hidayat&lt;/author&gt;&lt;author&gt;Yusof, Nor Afifah&lt;/author&gt;&lt;/authors&gt;&lt;/contributors&gt;&lt;titles&gt;&lt;title&gt;Digital literacy and ict-based supervision in shaping work discipline in coastal public organizations&lt;/title&gt;&lt;secondary-title&gt;Jurnal Relevansi: Ekonomi, Manajemen dan Bisnis&lt;/secondary-title&gt;&lt;/titles&gt;&lt;periodical&gt;&lt;full-title&gt;Jurnal Relevansi: Ekonomi, Manajemen dan Bisnis&lt;/full-title&gt;&lt;/periodical&gt;&lt;pages&gt;400-412&lt;/pages&gt;&lt;volume&gt;9&lt;/volume&gt;&lt;number&gt;2&lt;/number&gt;&lt;dates&gt;&lt;year&gt;2025&lt;/year&gt;&lt;/dates&gt;&lt;isbn&gt;2622-0415&lt;/isbn&gt;&lt;urls&gt;&lt;/urls&gt;&lt;electronic-resource-num&gt;https://doi.org/10.61401/relevansi.v9i2.417&lt;/electronic-resource-num&gt;&lt;/record&gt;&lt;/Cite&gt;&lt;/EndNote&gt;</w:instrText>
      </w:r>
      <w:r w:rsidR="00D2026B" w:rsidRPr="00DD4652">
        <w:rPr>
          <w:rFonts w:eastAsia="Times New Roman"/>
          <w:sz w:val="22"/>
        </w:rPr>
        <w:fldChar w:fldCharType="separate"/>
      </w:r>
      <w:r w:rsidR="00D2026B" w:rsidRPr="00DD4652">
        <w:rPr>
          <w:rFonts w:eastAsia="Times New Roman"/>
          <w:sz w:val="22"/>
        </w:rPr>
        <w:t>(</w:t>
      </w:r>
      <w:hyperlink w:anchor="_ENREF_37" w:tooltip="Shalahuddin, 2025 #10263" w:history="1">
        <w:r w:rsidR="00D2026B" w:rsidRPr="00DD4652">
          <w:rPr>
            <w:rStyle w:val="Hyperlink"/>
            <w:rFonts w:eastAsia="Times New Roman"/>
            <w:sz w:val="22"/>
          </w:rPr>
          <w:t>Shalahuddin, Aswan, Abdullah, Jimainal, &amp; Yusof, 2025</w:t>
        </w:r>
      </w:hyperlink>
      <w:r w:rsidR="00D2026B" w:rsidRPr="00DD4652">
        <w:rPr>
          <w:rFonts w:eastAsia="Times New Roman"/>
          <w:sz w:val="22"/>
        </w:rPr>
        <w:t>)</w:t>
      </w:r>
      <w:r w:rsidR="00D2026B" w:rsidRPr="00DD4652">
        <w:rPr>
          <w:rFonts w:eastAsia="Times New Roman"/>
          <w:sz w:val="22"/>
        </w:rPr>
        <w:fldChar w:fldCharType="end"/>
      </w:r>
      <w:r w:rsidRPr="00DD4652">
        <w:rPr>
          <w:rFonts w:eastAsia="Times New Roman"/>
          <w:sz w:val="22"/>
        </w:rPr>
        <w:t>. On the other hand, regulations encourage banks to allocate financing to green sectors whose risk characteristics are different and whose returns are not always optimal in the short term</w:t>
      </w:r>
      <w:r w:rsidR="00440AD8" w:rsidRPr="00DD4652">
        <w:rPr>
          <w:rFonts w:eastAsia="Times New Roman"/>
          <w:color w:val="000000"/>
          <w:sz w:val="22"/>
        </w:rPr>
        <w:t xml:space="preserve"> </w:t>
      </w:r>
      <w:r w:rsidR="00440AD8" w:rsidRPr="00DD4652">
        <w:rPr>
          <w:rFonts w:eastAsia="Times New Roman"/>
          <w:color w:val="000000"/>
          <w:sz w:val="22"/>
        </w:rPr>
        <w:fldChar w:fldCharType="begin"/>
      </w:r>
      <w:r w:rsidR="00440AD8" w:rsidRPr="00DD4652">
        <w:rPr>
          <w:rFonts w:eastAsia="Times New Roman"/>
          <w:color w:val="000000"/>
          <w:sz w:val="22"/>
        </w:rPr>
        <w:instrText xml:space="preserve"> ADDIN EN.CITE &lt;EndNote&gt;&lt;Cite&gt;&lt;Author&gt;Andaiyani&lt;/Author&gt;&lt;Year&gt;2023&lt;/Year&gt;&lt;RecNum&gt;10240&lt;/RecNum&gt;&lt;DisplayText&gt;(Andaiyani, Muthia, &amp;amp; Novriansa, 2023)&lt;/DisplayText&gt;&lt;record&gt;&lt;rec-number&gt;10240&lt;/rec-number&gt;&lt;foreign-keys&gt;&lt;key app="EN" db-id="x5ezdazsa9zseqe5esy5zw9wxe95pawf2e0d" timestamp="1784694161"&gt;10240&lt;/key&gt;&lt;/foreign-keys&gt;&lt;ref-type name="Journal Article"&gt;17&lt;/ref-type&gt;&lt;contributors&gt;&lt;authors&gt;&lt;author&gt;Andaiyani, Sri&lt;/author&gt;&lt;author&gt;Muthia, Fida&lt;/author&gt;&lt;author&gt;Novriansa, Agil&lt;/author&gt;&lt;/authors&gt;&lt;/contributors&gt;&lt;titles&gt;&lt;title&gt;Green credit and bank performance in Indonesia&lt;/title&gt;&lt;secondary-title&gt;Diponegoro International Journal of Business&lt;/secondary-title&gt;&lt;/titles&gt;&lt;periodical&gt;&lt;full-title&gt;Diponegoro International Journal of Business&lt;/full-title&gt;&lt;/periodical&gt;&lt;pages&gt;50-56&lt;/pages&gt;&lt;volume&gt;6&lt;/volume&gt;&lt;number&gt;1&lt;/number&gt;&lt;dates&gt;&lt;year&gt;2023&lt;/year&gt;&lt;/dates&gt;&lt;isbn&gt;2580-4995&lt;/isbn&gt;&lt;urls&gt;&lt;/urls&gt;&lt;electronic-resource-num&gt;https://doi.org/10.14710/dijb.6.1.2023.50-56&lt;/electronic-resource-num&gt;&lt;/record&gt;&lt;/Cite&gt;&lt;/EndNote&gt;</w:instrText>
      </w:r>
      <w:r w:rsidR="00440AD8" w:rsidRPr="00DD4652">
        <w:rPr>
          <w:rFonts w:eastAsia="Times New Roman"/>
          <w:color w:val="000000"/>
          <w:sz w:val="22"/>
        </w:rPr>
        <w:fldChar w:fldCharType="separate"/>
      </w:r>
      <w:r w:rsidR="00440AD8" w:rsidRPr="00DD4652">
        <w:rPr>
          <w:rFonts w:eastAsia="Times New Roman"/>
          <w:color w:val="000000"/>
          <w:sz w:val="22"/>
        </w:rPr>
        <w:t>(</w:t>
      </w:r>
      <w:hyperlink w:anchor="_ENREF_2" w:tooltip="Andaiyani, 2023 #10240" w:history="1">
        <w:r w:rsidR="00440AD8" w:rsidRPr="00DD4652">
          <w:rPr>
            <w:rStyle w:val="Hyperlink"/>
            <w:rFonts w:eastAsia="Times New Roman"/>
            <w:sz w:val="22"/>
          </w:rPr>
          <w:t>Andaiyani, Muthia, &amp; Novriansa, 2023</w:t>
        </w:r>
      </w:hyperlink>
      <w:r w:rsidR="00440AD8" w:rsidRPr="00DD4652">
        <w:rPr>
          <w:rFonts w:eastAsia="Times New Roman"/>
          <w:color w:val="000000"/>
          <w:sz w:val="22"/>
        </w:rPr>
        <w:t>)</w:t>
      </w:r>
      <w:r w:rsidR="00440AD8" w:rsidRPr="00DD4652">
        <w:rPr>
          <w:rFonts w:eastAsia="Times New Roman"/>
          <w:color w:val="000000"/>
          <w:sz w:val="22"/>
        </w:rPr>
        <w:fldChar w:fldCharType="end"/>
      </w:r>
      <w:r w:rsidRPr="00DD4652">
        <w:rPr>
          <w:rFonts w:eastAsia="Times New Roman"/>
          <w:sz w:val="22"/>
        </w:rPr>
        <w:t xml:space="preserve">. </w:t>
      </w:r>
      <w:hyperlink w:anchor="_ENREF_5" w:tooltip="Aydoğmuş, 2022 #10243" w:history="1">
        <w:r w:rsidR="002D713B" w:rsidRPr="00DD4652">
          <w:rPr>
            <w:rStyle w:val="Hyperlink"/>
            <w:rFonts w:eastAsia="Times New Roman"/>
            <w:sz w:val="22"/>
          </w:rPr>
          <w:fldChar w:fldCharType="begin"/>
        </w:r>
        <w:r w:rsidR="002D713B" w:rsidRPr="00DD4652">
          <w:rPr>
            <w:rStyle w:val="Hyperlink"/>
            <w:rFonts w:eastAsia="Times New Roman"/>
            <w:sz w:val="22"/>
          </w:rPr>
          <w:instrText xml:space="preserve"> ADDIN EN.CITE &lt;EndNote&gt;&lt;Cite AuthorYear="1"&gt;&lt;Author&gt;Aydoğmuş&lt;/Author&gt;&lt;Year&gt;2022&lt;/Year&gt;&lt;RecNum&gt;10243&lt;/RecNum&gt;&lt;DisplayText&gt;Aydoğmuş, Gülay, and Ergun (2022)&lt;/DisplayText&gt;&lt;record&gt;&lt;rec-number&gt;10243&lt;/rec-number&gt;&lt;foreign-keys&gt;&lt;key app="EN" db-id="x5ezdazsa9zseqe5esy5zw9wxe95pawf2e0d" timestamp="1784694536"&gt;10243&lt;/key&gt;&lt;/foreign-keys&gt;&lt;ref-type name="Journal Article"&gt;17&lt;/ref-type&gt;&lt;contributors&gt;&lt;authors&gt;&lt;author&gt;Aydoğmuş, Mahmut&lt;/author&gt;&lt;author&gt;Gülay, Güzhan&lt;/author&gt;&lt;author&gt;Ergun, Korkmaz&lt;/author&gt;&lt;/authors&gt;&lt;/contributors&gt;&lt;titles&gt;&lt;title&gt;Impact of ESG performance on firm value and profitability&lt;/title&gt;&lt;secondary-title&gt;Borsa Istanbul Review&lt;/secondary-title&gt;&lt;/titles&gt;&lt;periodical&gt;&lt;full-title&gt;Borsa Istanbul Review&lt;/full-title&gt;&lt;/periodical&gt;&lt;pages&gt;119-127&lt;/pages&gt;&lt;volume&gt;22&lt;/volume&gt;&lt;dates&gt;&lt;year&gt;2022&lt;/year&gt;&lt;/dates&gt;&lt;isbn&gt;2214-8450&lt;/isbn&gt;&lt;urls&gt;&lt;/urls&gt;&lt;electronic-resource-num&gt;https://doi.org/10.1016/j.bir.2022.11.006&lt;/electronic-resource-num&gt;&lt;/record&gt;&lt;/Cite&gt;&lt;/EndNote&gt;</w:instrText>
        </w:r>
        <w:r w:rsidR="002D713B" w:rsidRPr="00DD4652">
          <w:rPr>
            <w:rStyle w:val="Hyperlink"/>
            <w:rFonts w:eastAsia="Times New Roman"/>
            <w:sz w:val="22"/>
          </w:rPr>
          <w:fldChar w:fldCharType="separate"/>
        </w:r>
        <w:r w:rsidR="002D713B" w:rsidRPr="00DD4652">
          <w:rPr>
            <w:rStyle w:val="Hyperlink"/>
            <w:rFonts w:eastAsia="Times New Roman"/>
            <w:sz w:val="22"/>
          </w:rPr>
          <w:t>Aydoğmuş, Gülay, and Ergun (2022)</w:t>
        </w:r>
        <w:r w:rsidR="002D713B" w:rsidRPr="00DD4652">
          <w:rPr>
            <w:rStyle w:val="Hyperlink"/>
            <w:rFonts w:eastAsia="Times New Roman"/>
            <w:sz w:val="22"/>
          </w:rPr>
          <w:fldChar w:fldCharType="end"/>
        </w:r>
      </w:hyperlink>
      <w:r w:rsidR="002D713B" w:rsidRPr="00DD4652">
        <w:rPr>
          <w:rFonts w:eastAsia="Times New Roman"/>
          <w:sz w:val="22"/>
        </w:rPr>
        <w:t xml:space="preserve"> </w:t>
      </w:r>
      <w:r w:rsidR="00A94C74" w:rsidRPr="00DD4652">
        <w:rPr>
          <w:rFonts w:eastAsia="Times New Roman"/>
          <w:sz w:val="22"/>
        </w:rPr>
        <w:t xml:space="preserve">and </w:t>
      </w:r>
      <w:hyperlink w:anchor="_ENREF_9" w:tooltip="Buallay, 2019 #10245" w:history="1">
        <w:r w:rsidR="00D976CB" w:rsidRPr="00DD4652">
          <w:rPr>
            <w:rStyle w:val="Hyperlink"/>
            <w:rFonts w:eastAsia="Times New Roman"/>
            <w:sz w:val="22"/>
          </w:rPr>
          <w:fldChar w:fldCharType="begin"/>
        </w:r>
        <w:r w:rsidR="00D976CB" w:rsidRPr="00DD4652">
          <w:rPr>
            <w:rStyle w:val="Hyperlink"/>
            <w:rFonts w:eastAsia="Times New Roman"/>
            <w:sz w:val="22"/>
          </w:rPr>
          <w:instrText xml:space="preserve"> ADDIN EN.CITE &lt;EndNote&gt;&lt;Cite AuthorYear="1"&gt;&lt;Author&gt;Buallay&lt;/Author&gt;&lt;Year&gt;2019&lt;/Year&gt;&lt;RecNum&gt;10245&lt;/RecNum&gt;&lt;DisplayText&gt;Buallay (2019)&lt;/DisplayText&gt;&lt;record&gt;&lt;rec-number&gt;10245&lt;/rec-number&gt;&lt;foreign-keys&gt;&lt;key app="EN" db-id="x5ezdazsa9zseqe5esy5zw9wxe95pawf2e0d" timestamp="1784694683"&gt;10245&lt;/key&gt;&lt;/foreign-keys&gt;&lt;ref-type name="Journal Article"&gt;17&lt;/ref-type&gt;&lt;contributors&gt;&lt;authors&gt;&lt;author&gt;Buallay, Amina&lt;/author&gt;&lt;/authors&gt;&lt;/contributors&gt;&lt;titles&gt;&lt;title&gt;Is sustainability reporting (ESG) associated with performance? Evidence from the European banking sector&lt;/title&gt;&lt;secondary-title&gt;Management of Environmental Quality: An International Journal&lt;/secondary-title&gt;&lt;/titles&gt;&lt;periodical&gt;&lt;full-title&gt;Management of Environmental Quality: An International Journal&lt;/full-title&gt;&lt;/periodical&gt;&lt;pages&gt;98-115&lt;/pages&gt;&lt;volume&gt;30&lt;/volume&gt;&lt;number&gt;1&lt;/number&gt;&lt;dates&gt;&lt;year&gt;2019&lt;/year&gt;&lt;/dates&gt;&lt;isbn&gt;1477-7835&lt;/isbn&gt;&lt;urls&gt;&lt;/urls&gt;&lt;electronic-resource-num&gt;https://doi.org/10.1108/MEQ-12-2017-0149&lt;/electronic-resource-num&gt;&lt;/record&gt;&lt;/Cite&gt;&lt;/EndNote&gt;</w:instrText>
        </w:r>
        <w:r w:rsidR="00D976CB" w:rsidRPr="00DD4652">
          <w:rPr>
            <w:rStyle w:val="Hyperlink"/>
            <w:rFonts w:eastAsia="Times New Roman"/>
            <w:sz w:val="22"/>
          </w:rPr>
          <w:fldChar w:fldCharType="separate"/>
        </w:r>
        <w:r w:rsidR="00D976CB" w:rsidRPr="00DD4652">
          <w:rPr>
            <w:rStyle w:val="Hyperlink"/>
            <w:rFonts w:eastAsia="Times New Roman"/>
            <w:sz w:val="22"/>
          </w:rPr>
          <w:t>Buallay (2019)</w:t>
        </w:r>
        <w:r w:rsidR="00D976CB" w:rsidRPr="00DD4652">
          <w:rPr>
            <w:rStyle w:val="Hyperlink"/>
            <w:rFonts w:eastAsia="Times New Roman"/>
            <w:sz w:val="22"/>
          </w:rPr>
          <w:fldChar w:fldCharType="end"/>
        </w:r>
      </w:hyperlink>
      <w:r w:rsidR="00A94C74" w:rsidRPr="00DD4652">
        <w:rPr>
          <w:rFonts w:eastAsia="Times New Roman"/>
          <w:sz w:val="22"/>
        </w:rPr>
        <w:t xml:space="preserve"> note that integrating ESG dimensions into banking strategy can affect short-term profitability differently across institutional contexts, with effects ranging from negative to positive depending on disclosure maturity and regulatory pressure.</w:t>
      </w:r>
      <w:r w:rsidR="005E33E3" w:rsidRPr="00DD4652">
        <w:rPr>
          <w:rFonts w:eastAsia="Times New Roman"/>
          <w:sz w:val="22"/>
        </w:rPr>
        <w:t xml:space="preserve"> </w:t>
      </w:r>
      <w:r w:rsidRPr="00DD4652">
        <w:rPr>
          <w:rFonts w:eastAsia="Times New Roman"/>
          <w:sz w:val="22"/>
        </w:rPr>
        <w:t>This pressure is compounded by credit-quality concerns. Although Indonesian banking gross NPL aggregately improved from 3.00% in 2021 to 2.08% in 2024, its distribution still varies widely across banks</w:t>
      </w:r>
      <w:r w:rsidR="0051042F" w:rsidRPr="00DD4652">
        <w:rPr>
          <w:rFonts w:eastAsia="Times New Roman"/>
          <w:sz w:val="22"/>
        </w:rPr>
        <w:t xml:space="preserve"> </w:t>
      </w:r>
      <w:r w:rsidR="0051042F" w:rsidRPr="00DD4652">
        <w:rPr>
          <w:rFonts w:eastAsia="Times New Roman"/>
          <w:sz w:val="22"/>
        </w:rPr>
        <w:fldChar w:fldCharType="begin"/>
      </w:r>
      <w:r w:rsidR="0051042F" w:rsidRPr="00DD4652">
        <w:rPr>
          <w:rFonts w:eastAsia="Times New Roman"/>
          <w:sz w:val="22"/>
        </w:rPr>
        <w:instrText xml:space="preserve"> ADDIN EN.CITE &lt;EndNote&gt;&lt;Cite&gt;&lt;Author&gt;Khakim&lt;/Author&gt;&lt;Year&gt;2025&lt;/Year&gt;&lt;RecNum&gt;8425&lt;/RecNum&gt;&lt;DisplayText&gt;(Khakim, Santosa, Dewayana, &amp;amp; Koro, 2025)&lt;/DisplayText&gt;&lt;record&gt;&lt;rec-number&gt;8425&lt;/rec-number&gt;&lt;foreign-keys&gt;&lt;key app="EN" db-id="x5ezdazsa9zseqe5esy5zw9wxe95pawf2e0d" timestamp="1779689725"&gt;8425&lt;/key&gt;&lt;/foreign-keys&gt;&lt;ref-type name="Journal Article"&gt;17&lt;/ref-type&gt;&lt;contributors&gt;&lt;authors&gt;&lt;author&gt;Khakim, Arif Rohman&lt;/author&gt;&lt;author&gt;Santosa, Wahyuningsih&lt;/author&gt;&lt;author&gt;Dewayana, Triwulandari Satitidjati&lt;/author&gt;&lt;author&gt;Koro, Kunto Bagas&lt;/author&gt;&lt;/authors&gt;&lt;/contributors&gt;&lt;titles&gt;&lt;title&gt;The influence of logistic service quality on customer satisfaction: The moderating role of environmental friendliness&lt;/title&gt;&lt;secondary-title&gt;Jurnal Akuntansi, Keuangan, dan Manajemen&lt;/secondary-title&gt;&lt;/titles&gt;&lt;periodical&gt;&lt;full-title&gt;Jurnal Akuntansi, Keuangan, dan Manajemen&lt;/full-title&gt;&lt;/periodical&gt;&lt;pages&gt;431-446&lt;/pages&gt;&lt;volume&gt;7&lt;/volume&gt;&lt;number&gt;1&lt;/number&gt;&lt;dates&gt;&lt;year&gt;2025&lt;/year&gt;&lt;/dates&gt;&lt;urls&gt;&lt;/urls&gt;&lt;electronic-resource-num&gt;https://doi.org/10.35912/jakman.v7i1.5160&lt;/electronic-resource-num&gt;&lt;access-date&gt;2026/05/25&lt;/access-date&gt;&lt;/record&gt;&lt;/Cite&gt;&lt;/EndNote&gt;</w:instrText>
      </w:r>
      <w:r w:rsidR="0051042F" w:rsidRPr="00DD4652">
        <w:rPr>
          <w:rFonts w:eastAsia="Times New Roman"/>
          <w:sz w:val="22"/>
        </w:rPr>
        <w:fldChar w:fldCharType="separate"/>
      </w:r>
      <w:r w:rsidR="0051042F" w:rsidRPr="00DD4652">
        <w:rPr>
          <w:rFonts w:eastAsia="Times New Roman"/>
          <w:sz w:val="22"/>
        </w:rPr>
        <w:t>(</w:t>
      </w:r>
      <w:hyperlink w:anchor="_ENREF_21" w:tooltip="Khakim, 2025 #8425" w:history="1">
        <w:r w:rsidR="0051042F" w:rsidRPr="00DD4652">
          <w:rPr>
            <w:rStyle w:val="Hyperlink"/>
            <w:rFonts w:eastAsia="Times New Roman"/>
            <w:sz w:val="22"/>
          </w:rPr>
          <w:t>Khakim, Santosa, Dewayana, &amp; Koro, 2025</w:t>
        </w:r>
      </w:hyperlink>
      <w:r w:rsidR="0051042F" w:rsidRPr="00DD4652">
        <w:rPr>
          <w:rFonts w:eastAsia="Times New Roman"/>
          <w:sz w:val="22"/>
        </w:rPr>
        <w:t>)</w:t>
      </w:r>
      <w:r w:rsidR="0051042F" w:rsidRPr="00DD4652">
        <w:rPr>
          <w:rFonts w:eastAsia="Times New Roman"/>
          <w:sz w:val="22"/>
        </w:rPr>
        <w:fldChar w:fldCharType="end"/>
      </w:r>
      <w:r w:rsidRPr="00DD4652">
        <w:rPr>
          <w:rFonts w:eastAsia="Times New Roman"/>
          <w:sz w:val="22"/>
        </w:rPr>
        <w:t>. A high NPL is a manifestation of management failure in credit supervision that depresses profitability through two simultaneous channels, namely the increase in the Allowance for Impairment Losses (</w:t>
      </w:r>
      <w:r w:rsidR="00DD4652" w:rsidRPr="00DD4652">
        <w:rPr>
          <w:rFonts w:eastAsia="Times New Roman"/>
          <w:i/>
          <w:iCs/>
          <w:sz w:val="22"/>
        </w:rPr>
        <w:t xml:space="preserve">Cadangan </w:t>
      </w:r>
      <w:proofErr w:type="spellStart"/>
      <w:r w:rsidR="00DD4652" w:rsidRPr="00DD4652">
        <w:rPr>
          <w:rFonts w:eastAsia="Times New Roman"/>
          <w:i/>
          <w:iCs/>
          <w:sz w:val="22"/>
        </w:rPr>
        <w:t>Kerugian</w:t>
      </w:r>
      <w:proofErr w:type="spellEnd"/>
      <w:r w:rsidR="00DD4652" w:rsidRPr="00DD4652">
        <w:rPr>
          <w:rFonts w:eastAsia="Times New Roman"/>
          <w:i/>
          <w:iCs/>
          <w:sz w:val="22"/>
        </w:rPr>
        <w:t xml:space="preserve"> </w:t>
      </w:r>
      <w:proofErr w:type="spellStart"/>
      <w:r w:rsidR="00DD4652" w:rsidRPr="00DD4652">
        <w:rPr>
          <w:rFonts w:eastAsia="Times New Roman"/>
          <w:i/>
          <w:iCs/>
          <w:sz w:val="22"/>
        </w:rPr>
        <w:t>Penurunan</w:t>
      </w:r>
      <w:proofErr w:type="spellEnd"/>
      <w:r w:rsidR="00DD4652" w:rsidRPr="00DD4652">
        <w:rPr>
          <w:rFonts w:eastAsia="Times New Roman"/>
          <w:i/>
          <w:iCs/>
          <w:sz w:val="22"/>
        </w:rPr>
        <w:t xml:space="preserve"> Nilai</w:t>
      </w:r>
      <w:r w:rsidR="00B3266D">
        <w:rPr>
          <w:rFonts w:eastAsia="Times New Roman"/>
          <w:sz w:val="22"/>
        </w:rPr>
        <w:t xml:space="preserve"> or </w:t>
      </w:r>
      <w:r w:rsidRPr="00DD4652">
        <w:rPr>
          <w:rFonts w:eastAsia="Times New Roman"/>
          <w:sz w:val="22"/>
        </w:rPr>
        <w:t>CKPN) burden, which directly erodes operating profit, and the loss of interest income from non-performing loans</w:t>
      </w:r>
      <w:r w:rsidR="007050F9" w:rsidRPr="00DD4652">
        <w:rPr>
          <w:rFonts w:eastAsia="Times New Roman"/>
          <w:color w:val="000000"/>
          <w:sz w:val="22"/>
        </w:rPr>
        <w:t xml:space="preserve"> </w:t>
      </w:r>
      <w:r w:rsidR="007050F9" w:rsidRPr="00DD4652">
        <w:rPr>
          <w:rFonts w:eastAsia="Times New Roman"/>
          <w:color w:val="000000"/>
          <w:sz w:val="22"/>
        </w:rPr>
        <w:fldChar w:fldCharType="begin"/>
      </w:r>
      <w:r w:rsidR="007050F9" w:rsidRPr="00DD4652">
        <w:rPr>
          <w:rFonts w:eastAsia="Times New Roman"/>
          <w:color w:val="000000"/>
          <w:sz w:val="22"/>
        </w:rPr>
        <w:instrText xml:space="preserve"> ADDIN EN.CITE &lt;EndNote&gt;&lt;Cite&gt;&lt;Author&gt;Gupta&lt;/Author&gt;&lt;Year&gt;2026&lt;/Year&gt;&lt;RecNum&gt;10224&lt;/RecNum&gt;&lt;DisplayText&gt;(Gupta &amp;amp;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7050F9" w:rsidRPr="00DD4652">
        <w:rPr>
          <w:rFonts w:eastAsia="Times New Roman"/>
          <w:color w:val="000000"/>
          <w:sz w:val="22"/>
        </w:rPr>
        <w:fldChar w:fldCharType="separate"/>
      </w:r>
      <w:r w:rsidR="007050F9" w:rsidRPr="00DD4652">
        <w:rPr>
          <w:rFonts w:eastAsia="Times New Roman"/>
          <w:color w:val="000000"/>
          <w:sz w:val="22"/>
        </w:rPr>
        <w:t>(</w:t>
      </w:r>
      <w:hyperlink w:anchor="_ENREF_17" w:tooltip="Gupta, 2026 #10224" w:history="1">
        <w:r w:rsidR="007050F9" w:rsidRPr="00DD4652">
          <w:rPr>
            <w:rStyle w:val="Hyperlink"/>
            <w:rFonts w:eastAsia="Times New Roman"/>
            <w:sz w:val="22"/>
          </w:rPr>
          <w:t>Gupta &amp; Bansal, 2026</w:t>
        </w:r>
      </w:hyperlink>
      <w:r w:rsidR="007050F9" w:rsidRPr="00DD4652">
        <w:rPr>
          <w:rFonts w:eastAsia="Times New Roman"/>
          <w:color w:val="000000"/>
          <w:sz w:val="22"/>
        </w:rPr>
        <w:t>)</w:t>
      </w:r>
      <w:r w:rsidR="007050F9" w:rsidRPr="00DD4652">
        <w:rPr>
          <w:rFonts w:eastAsia="Times New Roman"/>
          <w:color w:val="000000"/>
          <w:sz w:val="22"/>
        </w:rPr>
        <w:fldChar w:fldCharType="end"/>
      </w:r>
      <w:r w:rsidRPr="00DD4652">
        <w:rPr>
          <w:rFonts w:eastAsia="Times New Roman"/>
          <w:sz w:val="22"/>
        </w:rPr>
        <w:t>. Thus, green credit and NPL constitute two crucial contemporary determinants influencing bank profitability.</w:t>
      </w:r>
    </w:p>
    <w:p w14:paraId="3104DB13" w14:textId="2F6097BB" w:rsidR="002A62CD" w:rsidRPr="00DD4652" w:rsidRDefault="002A62CD" w:rsidP="00917C19">
      <w:pPr>
        <w:spacing w:line="240" w:lineRule="auto"/>
        <w:ind w:firstLine="540"/>
        <w:jc w:val="both"/>
        <w:rPr>
          <w:sz w:val="22"/>
        </w:rPr>
      </w:pPr>
      <w:r w:rsidRPr="00DD4652">
        <w:rPr>
          <w:rFonts w:eastAsia="Times New Roman"/>
          <w:sz w:val="22"/>
        </w:rPr>
        <w:t>The empirical literature reveals a clear inconsistency in explaining the relationship between green credit and bank profitability.</w:t>
      </w:r>
      <w:r w:rsidR="000F0758" w:rsidRPr="00DD4652">
        <w:rPr>
          <w:rFonts w:eastAsia="Times New Roman"/>
          <w:color w:val="000000"/>
          <w:sz w:val="22"/>
        </w:rPr>
        <w:t xml:space="preserve"> </w:t>
      </w:r>
      <w:hyperlink w:anchor="_ENREF_24" w:tooltip="Lian, 2022 #10235" w:history="1">
        <w:r w:rsidR="000F0758" w:rsidRPr="00DD4652">
          <w:rPr>
            <w:rStyle w:val="Hyperlink"/>
            <w:rFonts w:eastAsia="Times New Roman"/>
            <w:sz w:val="22"/>
          </w:rPr>
          <w:fldChar w:fldCharType="begin"/>
        </w:r>
        <w:r w:rsidR="000F0758" w:rsidRPr="00DD4652">
          <w:rPr>
            <w:rStyle w:val="Hyperlink"/>
            <w:rFonts w:eastAsia="Times New Roman"/>
            <w:sz w:val="22"/>
          </w:rPr>
          <w:instrText xml:space="preserve"> ADDIN EN.CITE &lt;EndNote&gt;&lt;Cite AuthorYear="1"&gt;&lt;Author&gt;Lian&lt;/Author&gt;&lt;Year&gt;2022&lt;/Year&gt;&lt;RecNum&gt;10235&lt;/RecNum&gt;&lt;DisplayText&gt;Lian, Gao, and Ye (2022)&lt;/DisplayText&gt;&lt;record&gt;&lt;rec-number&gt;10235&lt;/rec-number&gt;&lt;foreign-keys&gt;&lt;key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0F0758" w:rsidRPr="00DD4652">
          <w:rPr>
            <w:rStyle w:val="Hyperlink"/>
            <w:rFonts w:eastAsia="Times New Roman"/>
            <w:sz w:val="22"/>
          </w:rPr>
          <w:fldChar w:fldCharType="separate"/>
        </w:r>
        <w:r w:rsidR="000F0758" w:rsidRPr="00DD4652">
          <w:rPr>
            <w:rStyle w:val="Hyperlink"/>
            <w:rFonts w:eastAsia="Times New Roman"/>
            <w:sz w:val="22"/>
          </w:rPr>
          <w:t>Lian, Gao, and Ye (2022)</w:t>
        </w:r>
        <w:r w:rsidR="000F0758" w:rsidRPr="00DD4652">
          <w:rPr>
            <w:rStyle w:val="Hyperlink"/>
            <w:rFonts w:eastAsia="Times New Roman"/>
            <w:sz w:val="22"/>
          </w:rPr>
          <w:fldChar w:fldCharType="end"/>
        </w:r>
      </w:hyperlink>
      <w:r w:rsidRPr="00DD4652">
        <w:rPr>
          <w:rFonts w:eastAsia="Times New Roman"/>
          <w:sz w:val="22"/>
        </w:rPr>
        <w:t xml:space="preserve"> demonstrate that green credit increases the ROA and NIM of commercial banks in China, and </w:t>
      </w:r>
      <w:hyperlink w:anchor="_ENREF_26" w:tooltip="Mirza, 2023 #10233" w:history="1">
        <w:r w:rsidR="00D9332F" w:rsidRPr="00DD4652">
          <w:rPr>
            <w:rStyle w:val="Hyperlink"/>
            <w:rFonts w:eastAsia="Times New Roman"/>
            <w:sz w:val="22"/>
          </w:rPr>
          <w:fldChar w:fldCharType="begin"/>
        </w:r>
        <w:r w:rsidR="00D9332F" w:rsidRPr="00DD4652">
          <w:rPr>
            <w:rStyle w:val="Hyperlink"/>
            <w:rFonts w:eastAsia="Times New Roman"/>
            <w:sz w:val="22"/>
          </w:rPr>
          <w:instrText xml:space="preserve"> ADDIN EN.CITE &lt;EndNote&gt;&lt;Cite AuthorYear="1"&gt;&lt;Author&gt;Mirza&lt;/Author&gt;&lt;Year&gt;2023&lt;/Year&gt;&lt;RecNum&gt;10233&lt;/RecNum&gt;&lt;DisplayText&gt;Mirza et al.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EndNote&gt;</w:instrText>
        </w:r>
        <w:r w:rsidR="00D9332F" w:rsidRPr="00DD4652">
          <w:rPr>
            <w:rStyle w:val="Hyperlink"/>
            <w:rFonts w:eastAsia="Times New Roman"/>
            <w:sz w:val="22"/>
          </w:rPr>
          <w:fldChar w:fldCharType="separate"/>
        </w:r>
        <w:r w:rsidR="00D9332F" w:rsidRPr="00DD4652">
          <w:rPr>
            <w:rStyle w:val="Hyperlink"/>
            <w:rFonts w:eastAsia="Times New Roman"/>
            <w:sz w:val="22"/>
          </w:rPr>
          <w:t>Mirza et al. (2023)</w:t>
        </w:r>
        <w:r w:rsidR="00D9332F" w:rsidRPr="00DD4652">
          <w:rPr>
            <w:rStyle w:val="Hyperlink"/>
            <w:rFonts w:eastAsia="Times New Roman"/>
            <w:sz w:val="22"/>
          </w:rPr>
          <w:fldChar w:fldCharType="end"/>
        </w:r>
      </w:hyperlink>
      <w:r w:rsidRPr="00DD4652">
        <w:rPr>
          <w:rFonts w:eastAsia="Times New Roman"/>
          <w:sz w:val="22"/>
        </w:rPr>
        <w:t xml:space="preserve"> confirm similar findings in MSME credit portfolios across BRIC countries. In the Indonesian context,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000343D7" w:rsidRPr="00DD4652">
        <w:rPr>
          <w:rFonts w:eastAsia="Times New Roman"/>
          <w:sz w:val="22"/>
        </w:rPr>
        <w:t xml:space="preserve"> </w:t>
      </w:r>
      <w:r w:rsidRPr="00DD4652">
        <w:rPr>
          <w:rFonts w:eastAsia="Times New Roman"/>
          <w:sz w:val="22"/>
        </w:rPr>
        <w:t>found a significant positive effect of the green credit ratio on ROA in 35 banks during the 2019</w:t>
      </w:r>
      <w:r w:rsidR="00B3266D">
        <w:rPr>
          <w:rFonts w:eastAsia="Times New Roman"/>
          <w:sz w:val="22"/>
        </w:rPr>
        <w:t>-</w:t>
      </w:r>
      <w:r w:rsidRPr="00DD4652">
        <w:rPr>
          <w:rFonts w:eastAsia="Times New Roman"/>
          <w:sz w:val="22"/>
        </w:rPr>
        <w:t xml:space="preserve">2022 period. Conversely, </w:t>
      </w:r>
      <w:hyperlink w:anchor="_ENREF_2" w:tooltip="Andaiyani, 2023 #10240" w:history="1">
        <w:r w:rsidR="00440AD8" w:rsidRPr="00DD4652">
          <w:rPr>
            <w:rStyle w:val="Hyperlink"/>
            <w:rFonts w:eastAsia="Times New Roman"/>
            <w:sz w:val="22"/>
          </w:rPr>
          <w:fldChar w:fldCharType="begin"/>
        </w:r>
        <w:r w:rsidR="00440AD8" w:rsidRPr="00DD4652">
          <w:rPr>
            <w:rStyle w:val="Hyperlink"/>
            <w:rFonts w:eastAsia="Times New Roman"/>
            <w:sz w:val="22"/>
          </w:rPr>
          <w:instrText xml:space="preserve"> ADDIN EN.CITE &lt;EndNote&gt;&lt;Cite AuthorYear="1"&gt;&lt;Author&gt;Andaiyani&lt;/Author&gt;&lt;Year&gt;2023&lt;/Year&gt;&lt;RecNum&gt;10240&lt;/RecNum&gt;&lt;DisplayText&gt;Andaiyani et al. (2023)&lt;/DisplayText&gt;&lt;record&gt;&lt;rec-number&gt;10240&lt;/rec-number&gt;&lt;foreign-keys&gt;&lt;key app="EN" db-id="x5ezdazsa9zseqe5esy5zw9wxe95pawf2e0d" timestamp="1784694161"&gt;10240&lt;/key&gt;&lt;/foreign-keys&gt;&lt;ref-type name="Journal Article"&gt;17&lt;/ref-type&gt;&lt;contributors&gt;&lt;authors&gt;&lt;author&gt;Andaiyani, Sri&lt;/author&gt;&lt;author&gt;Muthia, Fida&lt;/author&gt;&lt;author&gt;Novriansa, Agil&lt;/author&gt;&lt;/authors&gt;&lt;/contributors&gt;&lt;titles&gt;&lt;title&gt;Green credit and bank performance in Indonesia&lt;/title&gt;&lt;secondary-title&gt;Diponegoro International Journal of Business&lt;/secondary-title&gt;&lt;/titles&gt;&lt;periodical&gt;&lt;full-title&gt;Diponegoro International Journal of Business&lt;/full-title&gt;&lt;/periodical&gt;&lt;pages&gt;50-56&lt;/pages&gt;&lt;volume&gt;6&lt;/volume&gt;&lt;number&gt;1&lt;/number&gt;&lt;dates&gt;&lt;year&gt;2023&lt;/year&gt;&lt;/dates&gt;&lt;isbn&gt;2580-4995&lt;/isbn&gt;&lt;urls&gt;&lt;/urls&gt;&lt;electronic-resource-num&gt;https://doi.org/10.14710/dijb.6.1.2023.50-56&lt;/electronic-resource-num&gt;&lt;/record&gt;&lt;/Cite&gt;&lt;/EndNote&gt;</w:instrText>
        </w:r>
        <w:r w:rsidR="00440AD8" w:rsidRPr="00DD4652">
          <w:rPr>
            <w:rStyle w:val="Hyperlink"/>
            <w:rFonts w:eastAsia="Times New Roman"/>
            <w:sz w:val="22"/>
          </w:rPr>
          <w:fldChar w:fldCharType="separate"/>
        </w:r>
        <w:r w:rsidR="00440AD8" w:rsidRPr="00DD4652">
          <w:rPr>
            <w:rStyle w:val="Hyperlink"/>
            <w:rFonts w:eastAsia="Times New Roman"/>
            <w:sz w:val="22"/>
          </w:rPr>
          <w:t>Andaiyani et al. (2023)</w:t>
        </w:r>
        <w:r w:rsidR="00440AD8" w:rsidRPr="00DD4652">
          <w:rPr>
            <w:rStyle w:val="Hyperlink"/>
            <w:rFonts w:eastAsia="Times New Roman"/>
            <w:sz w:val="22"/>
          </w:rPr>
          <w:fldChar w:fldCharType="end"/>
        </w:r>
      </w:hyperlink>
      <w:r w:rsidR="00440AD8" w:rsidRPr="00DD4652">
        <w:rPr>
          <w:rFonts w:eastAsia="Times New Roman"/>
          <w:sz w:val="22"/>
        </w:rPr>
        <w:t xml:space="preserve"> </w:t>
      </w:r>
      <w:r w:rsidRPr="00DD4652">
        <w:rPr>
          <w:rFonts w:eastAsia="Times New Roman"/>
          <w:sz w:val="22"/>
        </w:rPr>
        <w:t xml:space="preserve">and </w:t>
      </w:r>
      <w:hyperlink w:anchor="_ENREF_34" w:tooltip="Riyanti, 2025 #10228" w:history="1">
        <w:r w:rsidR="000D41A4" w:rsidRPr="00DD4652">
          <w:rPr>
            <w:rStyle w:val="Hyperlink"/>
            <w:rFonts w:eastAsia="Times New Roman"/>
            <w:sz w:val="22"/>
          </w:rPr>
          <w:fldChar w:fldCharType="begin"/>
        </w:r>
        <w:r w:rsidR="000D41A4" w:rsidRPr="00DD4652">
          <w:rPr>
            <w:rStyle w:val="Hyperlink"/>
            <w:rFonts w:eastAsia="Times New Roman"/>
            <w:sz w:val="22"/>
          </w:rPr>
          <w:instrText xml:space="preserve"> ADDIN EN.CITE &lt;EndNote&gt;&lt;Cite AuthorYear="1"&gt;&lt;Author&gt;Riyanti&lt;/Author&gt;&lt;Year&gt;2025&lt;/Year&gt;&lt;RecNum&gt;10228&lt;/RecNum&gt;&lt;DisplayText&gt;Riyanti et al. (2025)&lt;/DisplayText&gt;&lt;record&gt;&lt;rec-number&gt;10228&lt;/rec-number&gt;&lt;foreign-keys&gt;&lt;key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EndNote&gt;</w:instrText>
        </w:r>
        <w:r w:rsidR="000D41A4" w:rsidRPr="00DD4652">
          <w:rPr>
            <w:rStyle w:val="Hyperlink"/>
            <w:rFonts w:eastAsia="Times New Roman"/>
            <w:sz w:val="22"/>
          </w:rPr>
          <w:fldChar w:fldCharType="separate"/>
        </w:r>
        <w:r w:rsidR="000D41A4" w:rsidRPr="00DD4652">
          <w:rPr>
            <w:rStyle w:val="Hyperlink"/>
            <w:rFonts w:eastAsia="Times New Roman"/>
            <w:sz w:val="22"/>
          </w:rPr>
          <w:t>Riyanti et al. (2025)</w:t>
        </w:r>
        <w:r w:rsidR="000D41A4" w:rsidRPr="00DD4652">
          <w:rPr>
            <w:rStyle w:val="Hyperlink"/>
            <w:rFonts w:eastAsia="Times New Roman"/>
            <w:sz w:val="22"/>
          </w:rPr>
          <w:fldChar w:fldCharType="end"/>
        </w:r>
      </w:hyperlink>
      <w:r w:rsidRPr="00DD4652">
        <w:rPr>
          <w:rFonts w:eastAsia="Times New Roman"/>
          <w:sz w:val="22"/>
        </w:rPr>
        <w:t xml:space="preserve"> found that green loans have a significant negative impact on the ROA, ROE, and NIM of Indonesian conventional banks</w:t>
      </w:r>
      <w:r w:rsidR="00A05E81" w:rsidRPr="00DD4652">
        <w:rPr>
          <w:rFonts w:eastAsia="Times New Roman"/>
          <w:sz w:val="22"/>
        </w:rPr>
        <w:t xml:space="preserve">. </w:t>
      </w:r>
      <w:hyperlink w:anchor="_ENREF_15" w:tooltip="Galan, 2024 #10252" w:history="1">
        <w:r w:rsidR="00A05E81" w:rsidRPr="00DD4652">
          <w:rPr>
            <w:rStyle w:val="Hyperlink"/>
            <w:rFonts w:eastAsia="Times New Roman"/>
            <w:sz w:val="22"/>
          </w:rPr>
          <w:fldChar w:fldCharType="begin"/>
        </w:r>
        <w:r w:rsidR="00A05E81" w:rsidRPr="00DD4652">
          <w:rPr>
            <w:rStyle w:val="Hyperlink"/>
            <w:rFonts w:eastAsia="Times New Roman"/>
            <w:sz w:val="22"/>
          </w:rPr>
          <w:instrText xml:space="preserve"> ADDIN EN.CITE &lt;EndNote&gt;&lt;Cite AuthorYear="1"&gt;&lt;Author&gt;Galan&lt;/Author&gt;&lt;Year&gt;2024&lt;/Year&gt;&lt;RecNum&gt;10252&lt;/RecNum&gt;&lt;DisplayText&gt;Galan and Tan (2024)&lt;/DisplayText&gt;&lt;record&gt;&lt;rec-number&gt;10252&lt;/rec-number&gt;&lt;foreign-keys&gt;&lt;key app="EN" db-id="x5ezdazsa9zseqe5esy5zw9wxe95pawf2e0d" timestamp="1784695869"&gt;10252&lt;/key&gt;&lt;/foreign-keys&gt;&lt;ref-type name="Journal Article"&gt;17&lt;/ref-type&gt;&lt;contributors&gt;&lt;authors&gt;&lt;author&gt;Galan, Jorge E&lt;/author&gt;&lt;author&gt;Tan, Yong&lt;/author&gt;&lt;/authors&gt;&lt;/contributors&gt;&lt;titles&gt;&lt;title&gt;Green light for green credit? Evidence from its impact on bank efficiency&lt;/title&gt;&lt;secondary-title&gt;International Journal of Finance &amp;amp; Economics&lt;/secondary-title&gt;&lt;/titles&gt;&lt;periodical&gt;&lt;full-title&gt;International Journal of Finance &amp;amp; Economics&lt;/full-title&gt;&lt;/periodical&gt;&lt;pages&gt;531-550&lt;/pages&gt;&lt;volume&gt;29&lt;/volume&gt;&lt;number&gt;1&lt;/number&gt;&lt;dates&gt;&lt;year&gt;2024&lt;/year&gt;&lt;/dates&gt;&lt;isbn&gt;1076-9307&lt;/isbn&gt;&lt;urls&gt;&lt;/urls&gt;&lt;electronic-resource-num&gt;https://doi.org/10.1002/ijfe.2697&lt;/electronic-resource-num&gt;&lt;/record&gt;&lt;/Cite&gt;&lt;/EndNote&gt;</w:instrText>
        </w:r>
        <w:r w:rsidR="00A05E81" w:rsidRPr="00DD4652">
          <w:rPr>
            <w:rStyle w:val="Hyperlink"/>
            <w:rFonts w:eastAsia="Times New Roman"/>
            <w:sz w:val="22"/>
          </w:rPr>
          <w:fldChar w:fldCharType="separate"/>
        </w:r>
        <w:r w:rsidR="00A05E81" w:rsidRPr="00DD4652">
          <w:rPr>
            <w:rStyle w:val="Hyperlink"/>
            <w:rFonts w:eastAsia="Times New Roman"/>
            <w:sz w:val="22"/>
          </w:rPr>
          <w:t>Galan and Tan (2024)</w:t>
        </w:r>
        <w:r w:rsidR="00A05E81" w:rsidRPr="00DD4652">
          <w:rPr>
            <w:rStyle w:val="Hyperlink"/>
            <w:rFonts w:eastAsia="Times New Roman"/>
            <w:sz w:val="22"/>
          </w:rPr>
          <w:fldChar w:fldCharType="end"/>
        </w:r>
      </w:hyperlink>
      <w:r w:rsidRPr="00DD4652">
        <w:rPr>
          <w:rFonts w:eastAsia="Times New Roman"/>
          <w:sz w:val="22"/>
        </w:rPr>
        <w:t>,</w:t>
      </w:r>
      <w:r w:rsidR="00262F40" w:rsidRPr="00DD4652">
        <w:rPr>
          <w:rFonts w:eastAsia="Times New Roman"/>
          <w:sz w:val="22"/>
        </w:rPr>
        <w:t xml:space="preserve"> and</w:t>
      </w:r>
      <w:r w:rsidRPr="00DD4652">
        <w:rPr>
          <w:rFonts w:eastAsia="Times New Roman"/>
          <w:sz w:val="22"/>
        </w:rPr>
        <w:t xml:space="preserve"> </w:t>
      </w:r>
      <w:hyperlink w:anchor="_ENREF_42" w:tooltip="Wu, 2024 #10249" w:history="1">
        <w:r w:rsidR="00391B30" w:rsidRPr="00DD4652">
          <w:rPr>
            <w:rStyle w:val="Hyperlink"/>
            <w:rFonts w:eastAsia="Times New Roman"/>
            <w:sz w:val="22"/>
          </w:rPr>
          <w:fldChar w:fldCharType="begin"/>
        </w:r>
        <w:r w:rsidR="00391B30" w:rsidRPr="00DD4652">
          <w:rPr>
            <w:rStyle w:val="Hyperlink"/>
            <w:rFonts w:eastAsia="Times New Roman"/>
            <w:sz w:val="22"/>
          </w:rPr>
          <w:instrText xml:space="preserve"> ADDIN EN.CITE &lt;EndNote&gt;&lt;Cite AuthorYear="1"&gt;&lt;Author&gt;Wu&lt;/Author&gt;&lt;Year&gt;2024&lt;/Year&gt;&lt;RecNum&gt;10249&lt;/RecNum&gt;&lt;DisplayText&gt;Wu and Zhou (2024)&lt;/DisplayText&gt;&lt;record&gt;&lt;rec-number&gt;10249&lt;/rec-number&gt;&lt;foreign-keys&gt;&lt;key app="EN" db-id="x5ezdazsa9zseqe5esy5zw9wxe95pawf2e0d" timestamp="1784695313"&gt;10249&lt;/key&gt;&lt;/foreign-keys&gt;&lt;ref-type name="Journal Article"&gt;17&lt;/ref-type&gt;&lt;contributors&gt;&lt;authors&gt;&lt;author&gt;Wu, Sheng&lt;/author&gt;&lt;author&gt;Zhou, Xiaoyong&lt;/author&gt;&lt;/authors&gt;&lt;/contributors&gt;&lt;titles&gt;&lt;title&gt;A theoretical framework for modeling dual-track granting orientation in green credit policy&lt;/title&gt;&lt;secondary-title&gt;Economic Analysis and Policy&lt;/secondary-title&gt;&lt;/titles&gt;&lt;periodical&gt;&lt;full-title&gt;Economic Analysis and Policy&lt;/full-title&gt;&lt;/periodical&gt;&lt;pages&gt;249-268&lt;/pages&gt;&lt;volume&gt;81&lt;/volume&gt;&lt;dates&gt;&lt;year&gt;2024&lt;/year&gt;&lt;/dates&gt;&lt;isbn&gt;0313-5926&lt;/isbn&gt;&lt;urls&gt;&lt;/urls&gt;&lt;electronic-resource-num&gt;https://doi.org/10.1016/j.eap.2023.11.035&lt;/electronic-resource-num&gt;&lt;/record&gt;&lt;/Cite&gt;&lt;/EndNote&gt;</w:instrText>
        </w:r>
        <w:r w:rsidR="00391B30" w:rsidRPr="00DD4652">
          <w:rPr>
            <w:rStyle w:val="Hyperlink"/>
            <w:rFonts w:eastAsia="Times New Roman"/>
            <w:sz w:val="22"/>
          </w:rPr>
          <w:fldChar w:fldCharType="separate"/>
        </w:r>
        <w:r w:rsidR="00391B30" w:rsidRPr="00DD4652">
          <w:rPr>
            <w:rStyle w:val="Hyperlink"/>
            <w:rFonts w:eastAsia="Times New Roman"/>
            <w:sz w:val="22"/>
          </w:rPr>
          <w:t>Wu and Zhou (2024)</w:t>
        </w:r>
        <w:r w:rsidR="00391B30" w:rsidRPr="00DD4652">
          <w:rPr>
            <w:rStyle w:val="Hyperlink"/>
            <w:rFonts w:eastAsia="Times New Roman"/>
            <w:sz w:val="22"/>
          </w:rPr>
          <w:fldChar w:fldCharType="end"/>
        </w:r>
      </w:hyperlink>
      <w:r w:rsidRPr="00DD4652">
        <w:rPr>
          <w:rFonts w:eastAsia="Times New Roman"/>
          <w:sz w:val="22"/>
        </w:rPr>
        <w:t xml:space="preserve"> likewise found that green credit erodes the efficiency and profits of banks in China and across countries. The most striking inconsistency is observed when two studies based on the same Indonesian banking data, namely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and</w:t>
      </w:r>
      <w:r w:rsidR="000D41A4" w:rsidRPr="00DD4652">
        <w:rPr>
          <w:rFonts w:eastAsia="Times New Roman"/>
          <w:color w:val="000000"/>
          <w:sz w:val="22"/>
        </w:rPr>
        <w:t xml:space="preserve"> </w:t>
      </w:r>
      <w:hyperlink w:anchor="_ENREF_34" w:tooltip="Riyanti, 2025 #10228" w:history="1">
        <w:r w:rsidR="000D41A4" w:rsidRPr="00DD4652">
          <w:rPr>
            <w:rStyle w:val="Hyperlink"/>
            <w:rFonts w:eastAsia="Times New Roman"/>
            <w:sz w:val="22"/>
          </w:rPr>
          <w:fldChar w:fldCharType="begin"/>
        </w:r>
        <w:r w:rsidR="000D41A4" w:rsidRPr="00DD4652">
          <w:rPr>
            <w:rStyle w:val="Hyperlink"/>
            <w:rFonts w:eastAsia="Times New Roman"/>
            <w:sz w:val="22"/>
          </w:rPr>
          <w:instrText xml:space="preserve"> ADDIN EN.CITE &lt;EndNote&gt;&lt;Cite AuthorYear="1"&gt;&lt;Author&gt;Riyanti&lt;/Author&gt;&lt;Year&gt;2025&lt;/Year&gt;&lt;RecNum&gt;10228&lt;/RecNum&gt;&lt;DisplayText&gt;Riyanti et al. (2025)&lt;/DisplayText&gt;&lt;record&gt;&lt;rec-number&gt;10228&lt;/rec-number&gt;&lt;foreign-keys&gt;&lt;key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EndNote&gt;</w:instrText>
        </w:r>
        <w:r w:rsidR="000D41A4" w:rsidRPr="00DD4652">
          <w:rPr>
            <w:rStyle w:val="Hyperlink"/>
            <w:rFonts w:eastAsia="Times New Roman"/>
            <w:sz w:val="22"/>
          </w:rPr>
          <w:fldChar w:fldCharType="separate"/>
        </w:r>
        <w:r w:rsidR="000D41A4" w:rsidRPr="00DD4652">
          <w:rPr>
            <w:rStyle w:val="Hyperlink"/>
            <w:rFonts w:eastAsia="Times New Roman"/>
            <w:sz w:val="22"/>
          </w:rPr>
          <w:t>Riyanti et al. (2025)</w:t>
        </w:r>
        <w:r w:rsidR="000D41A4" w:rsidRPr="00DD4652">
          <w:rPr>
            <w:rStyle w:val="Hyperlink"/>
            <w:rFonts w:eastAsia="Times New Roman"/>
            <w:sz w:val="22"/>
          </w:rPr>
          <w:fldChar w:fldCharType="end"/>
        </w:r>
      </w:hyperlink>
      <w:r w:rsidRPr="00DD4652">
        <w:rPr>
          <w:rFonts w:eastAsia="Times New Roman"/>
          <w:sz w:val="22"/>
        </w:rPr>
        <w:t>, produce diametrically opposed conclusions. This fact suggests the existence of a conditional variable that has not yet been formally identified.</w:t>
      </w:r>
    </w:p>
    <w:p w14:paraId="22554411" w14:textId="4DE32821" w:rsidR="002A62CD" w:rsidRPr="00DD4652" w:rsidRDefault="002A62CD" w:rsidP="00917C19">
      <w:pPr>
        <w:spacing w:line="240" w:lineRule="auto"/>
        <w:ind w:firstLine="540"/>
        <w:jc w:val="both"/>
        <w:rPr>
          <w:sz w:val="22"/>
        </w:rPr>
      </w:pPr>
      <w:r w:rsidRPr="00DD4652">
        <w:rPr>
          <w:rFonts w:eastAsia="Times New Roman"/>
          <w:sz w:val="22"/>
        </w:rPr>
        <w:t>The conditional variable suspected to explain such inconsistency is bank size.</w:t>
      </w:r>
      <w:r w:rsidR="000343D7" w:rsidRPr="00DD4652">
        <w:rPr>
          <w:rFonts w:eastAsia="Times New Roman"/>
          <w:color w:val="000000"/>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in a subgroup analysis, found that the effect of green credit was only significant in small banks, whereas </w:t>
      </w:r>
      <w:hyperlink w:anchor="_ENREF_17" w:tooltip="Gupta, 2026 #10224" w:history="1">
        <w:r w:rsidR="007050F9" w:rsidRPr="00DD4652">
          <w:rPr>
            <w:rStyle w:val="Hyperlink"/>
            <w:rFonts w:eastAsia="Times New Roman"/>
            <w:sz w:val="22"/>
          </w:rPr>
          <w:fldChar w:fldCharType="begin"/>
        </w:r>
        <w:r w:rsidR="007050F9" w:rsidRPr="00DD4652">
          <w:rPr>
            <w:rStyle w:val="Hyperlink"/>
            <w:rFonts w:eastAsia="Times New Roman"/>
            <w:sz w:val="22"/>
          </w:rPr>
          <w:instrText xml:space="preserve"> ADDIN EN.CITE &lt;EndNote&gt;&lt;Cite AuthorYear="1"&gt;&lt;Author&gt;Gupta&lt;/Author&gt;&lt;Year&gt;2026&lt;/Year&gt;&lt;RecNum&gt;10224&lt;/RecNum&gt;&lt;DisplayText&gt;Gupta and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7050F9" w:rsidRPr="00DD4652">
          <w:rPr>
            <w:rStyle w:val="Hyperlink"/>
            <w:rFonts w:eastAsia="Times New Roman"/>
            <w:sz w:val="22"/>
          </w:rPr>
          <w:fldChar w:fldCharType="separate"/>
        </w:r>
        <w:r w:rsidR="007050F9" w:rsidRPr="00DD4652">
          <w:rPr>
            <w:rStyle w:val="Hyperlink"/>
            <w:rFonts w:eastAsia="Times New Roman"/>
            <w:sz w:val="22"/>
          </w:rPr>
          <w:t>Gupta and Bansal (2026)</w:t>
        </w:r>
        <w:r w:rsidR="007050F9" w:rsidRPr="00DD4652">
          <w:rPr>
            <w:rStyle w:val="Hyperlink"/>
            <w:rFonts w:eastAsia="Times New Roman"/>
            <w:sz w:val="22"/>
          </w:rPr>
          <w:fldChar w:fldCharType="end"/>
        </w:r>
      </w:hyperlink>
      <w:r w:rsidRPr="00DD4652">
        <w:rPr>
          <w:rFonts w:eastAsia="Times New Roman"/>
          <w:sz w:val="22"/>
        </w:rPr>
        <w:t xml:space="preserve"> and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xml:space="preserve"> documented that the negative impact of NPL on profitability is far greater in small banks than in large banks. </w:t>
      </w:r>
      <w:hyperlink w:anchor="_ENREF_15" w:tooltip="Galan, 2024 #10252" w:history="1">
        <w:r w:rsidR="00A05E81" w:rsidRPr="00DD4652">
          <w:rPr>
            <w:rStyle w:val="Hyperlink"/>
            <w:rFonts w:eastAsia="Times New Roman"/>
            <w:sz w:val="22"/>
          </w:rPr>
          <w:fldChar w:fldCharType="begin"/>
        </w:r>
        <w:r w:rsidR="00A05E81" w:rsidRPr="00DD4652">
          <w:rPr>
            <w:rStyle w:val="Hyperlink"/>
            <w:rFonts w:eastAsia="Times New Roman"/>
            <w:sz w:val="22"/>
          </w:rPr>
          <w:instrText xml:space="preserve"> ADDIN EN.CITE &lt;EndNote&gt;&lt;Cite AuthorYear="1"&gt;&lt;Author&gt;Galan&lt;/Author&gt;&lt;Year&gt;2024&lt;/Year&gt;&lt;RecNum&gt;10252&lt;/RecNum&gt;&lt;DisplayText&gt;Galan and Tan (2024)&lt;/DisplayText&gt;&lt;record&gt;&lt;rec-number&gt;10252&lt;/rec-number&gt;&lt;foreign-keys&gt;&lt;key app="EN" db-id="x5ezdazsa9zseqe5esy5zw9wxe95pawf2e0d" timestamp="1784695869"&gt;10252&lt;/key&gt;&lt;/foreign-keys&gt;&lt;ref-type name="Journal Article"&gt;17&lt;/ref-type&gt;&lt;contributors&gt;&lt;authors&gt;&lt;author&gt;Galan, Jorge E&lt;/author&gt;&lt;author&gt;Tan, Yong&lt;/author&gt;&lt;/authors&gt;&lt;/contributors&gt;&lt;titles&gt;&lt;title&gt;Green light for green credit? Evidence from its impact on bank efficiency&lt;/title&gt;&lt;secondary-title&gt;International Journal of Finance &amp;amp; Economics&lt;/secondary-title&gt;&lt;/titles&gt;&lt;periodical&gt;&lt;full-title&gt;International Journal of Finance &amp;amp; Economics&lt;/full-title&gt;&lt;/periodical&gt;&lt;pages&gt;531-550&lt;/pages&gt;&lt;volume&gt;29&lt;/volume&gt;&lt;number&gt;1&lt;/number&gt;&lt;dates&gt;&lt;year&gt;2024&lt;/year&gt;&lt;/dates&gt;&lt;isbn&gt;1076-9307&lt;/isbn&gt;&lt;urls&gt;&lt;/urls&gt;&lt;electronic-resource-num&gt;https://doi.org/10.1002/ijfe.2697&lt;/electronic-resource-num&gt;&lt;/record&gt;&lt;/Cite&gt;&lt;/EndNote&gt;</w:instrText>
        </w:r>
        <w:r w:rsidR="00A05E81" w:rsidRPr="00DD4652">
          <w:rPr>
            <w:rStyle w:val="Hyperlink"/>
            <w:rFonts w:eastAsia="Times New Roman"/>
            <w:sz w:val="22"/>
          </w:rPr>
          <w:fldChar w:fldCharType="separate"/>
        </w:r>
        <w:r w:rsidR="00A05E81" w:rsidRPr="00DD4652">
          <w:rPr>
            <w:rStyle w:val="Hyperlink"/>
            <w:rFonts w:eastAsia="Times New Roman"/>
            <w:sz w:val="22"/>
          </w:rPr>
          <w:t>Galan and Tan (2024)</w:t>
        </w:r>
        <w:r w:rsidR="00A05E81" w:rsidRPr="00DD4652">
          <w:rPr>
            <w:rStyle w:val="Hyperlink"/>
            <w:rFonts w:eastAsia="Times New Roman"/>
            <w:sz w:val="22"/>
          </w:rPr>
          <w:fldChar w:fldCharType="end"/>
        </w:r>
      </w:hyperlink>
      <w:r w:rsidR="00A05E81" w:rsidRPr="00DD4652">
        <w:rPr>
          <w:rFonts w:eastAsia="Times New Roman"/>
          <w:sz w:val="22"/>
        </w:rPr>
        <w:t xml:space="preserve"> </w:t>
      </w:r>
      <w:r w:rsidRPr="00DD4652">
        <w:rPr>
          <w:rFonts w:eastAsia="Times New Roman"/>
          <w:sz w:val="22"/>
        </w:rPr>
        <w:t xml:space="preserve">and </w:t>
      </w:r>
      <w:hyperlink w:anchor="_ENREF_13" w:tooltip="Fata, 2024 #10251" w:history="1">
        <w:r w:rsidR="000377F1" w:rsidRPr="00DD4652">
          <w:rPr>
            <w:rStyle w:val="Hyperlink"/>
            <w:rFonts w:eastAsia="Times New Roman"/>
            <w:sz w:val="22"/>
          </w:rPr>
          <w:fldChar w:fldCharType="begin"/>
        </w:r>
        <w:r w:rsidR="000377F1" w:rsidRPr="00DD4652">
          <w:rPr>
            <w:rStyle w:val="Hyperlink"/>
            <w:rFonts w:eastAsia="Times New Roman"/>
            <w:sz w:val="22"/>
          </w:rPr>
          <w:instrText xml:space="preserve"> ADDIN EN.CITE &lt;EndNote&gt;&lt;Cite AuthorYear="1"&gt;&lt;Author&gt;Fata&lt;/Author&gt;&lt;Year&gt;2024&lt;/Year&gt;&lt;RecNum&gt;10251&lt;/RecNum&gt;&lt;DisplayText&gt;Fata and Arifin (2024)&lt;/DisplayText&gt;&lt;record&gt;&lt;rec-number&gt;10251&lt;/rec-number&gt;&lt;foreign-keys&gt;&lt;key app="EN" db-id="x5ezdazsa9zseqe5esy5zw9wxe95pawf2e0d" timestamp="1784695762"&gt;10251&lt;/key&gt;&lt;/foreign-keys&gt;&lt;ref-type name="Journal Article"&gt;17&lt;/ref-type&gt;&lt;contributors&gt;&lt;authors&gt;&lt;author&gt;Fata, Fikri Ali&lt;/author&gt;&lt;author&gt;Arifin, Zaenal&lt;/author&gt;&lt;/authors&gt;&lt;/contributors&gt;&lt;titles&gt;&lt;title&gt;The impact of green credit distribution on bank performance and influencing factors: a case study of Indonesian banks&lt;/title&gt;&lt;secondary-title&gt;International Journal of Research in Business and Social Science&lt;/secondary-title&gt;&lt;/titles&gt;&lt;periodical&gt;&lt;full-title&gt;International Journal of Research in Business and Social Science&lt;/full-title&gt;&lt;/periodical&gt;&lt;pages&gt;323-332&lt;/pages&gt;&lt;volume&gt;13&lt;/volume&gt;&lt;number&gt;1&lt;/number&gt;&lt;dates&gt;&lt;year&gt;2024&lt;/year&gt;&lt;/dates&gt;&lt;isbn&gt;2147-4478&lt;/isbn&gt;&lt;urls&gt;&lt;/urls&gt;&lt;electronic-resource-num&gt;https://doi.org/10.20525/ijrbs.v13i1.3185&lt;/electronic-resource-num&gt;&lt;/record&gt;&lt;/Cite&gt;&lt;/EndNote&gt;</w:instrText>
        </w:r>
        <w:r w:rsidR="000377F1" w:rsidRPr="00DD4652">
          <w:rPr>
            <w:rStyle w:val="Hyperlink"/>
            <w:rFonts w:eastAsia="Times New Roman"/>
            <w:sz w:val="22"/>
          </w:rPr>
          <w:fldChar w:fldCharType="separate"/>
        </w:r>
        <w:r w:rsidR="000377F1" w:rsidRPr="00DD4652">
          <w:rPr>
            <w:rStyle w:val="Hyperlink"/>
            <w:rFonts w:eastAsia="Times New Roman"/>
            <w:sz w:val="22"/>
          </w:rPr>
          <w:t>Fata and Arifin (2024)</w:t>
        </w:r>
        <w:r w:rsidR="000377F1" w:rsidRPr="00DD4652">
          <w:rPr>
            <w:rStyle w:val="Hyperlink"/>
            <w:rFonts w:eastAsia="Times New Roman"/>
            <w:sz w:val="22"/>
          </w:rPr>
          <w:fldChar w:fldCharType="end"/>
        </w:r>
      </w:hyperlink>
      <w:r w:rsidRPr="00DD4652">
        <w:rPr>
          <w:rFonts w:eastAsia="Times New Roman"/>
          <w:sz w:val="22"/>
        </w:rPr>
        <w:t xml:space="preserve"> demonstrate that large banks possess relatively higher resilience to the efficiency pressure caused by green credit. These findings implicitly indicate the moderating role of bank size, which has not yet been formally tested in an empirical configuration that simultaneously combines green credit and NPL within the post-pandemic Indonesian banking context. This is the research gap that becomes the focus of this study.</w:t>
      </w:r>
    </w:p>
    <w:p w14:paraId="3C2103B0" w14:textId="08D70AC4" w:rsidR="002A62CD" w:rsidRPr="00DD4652" w:rsidRDefault="004A0CF6" w:rsidP="00917C19">
      <w:pPr>
        <w:spacing w:line="240" w:lineRule="auto"/>
        <w:ind w:firstLine="540"/>
        <w:jc w:val="both"/>
        <w:rPr>
          <w:sz w:val="22"/>
        </w:rPr>
      </w:pPr>
      <w:r w:rsidRPr="00DD4652">
        <w:rPr>
          <w:rFonts w:eastAsia="Times New Roman"/>
          <w:sz w:val="22"/>
        </w:rPr>
        <w:t>Based on the discussion above, this study has strong academic and practical urgency. Academically, this research contributes to closing three literature gaps by re-examining the effect of green credit in the most recent Indonesian context using broader data, integrating the sustainability variable (green credit) with a fundamental banking variable (NPL) within a single empirical framework, and formalizing bank size as a moderator of both relationships. Practically, the findings are expected to provide evidence-based recommendations for bank management in formulating green-credit allocation strategies that do not sacrifice profitability, while also serving as input for the Indonesian Financial Services Authority in evaluating the effectiveness of sustainable finance regulation according to bank size.</w:t>
      </w:r>
    </w:p>
    <w:p w14:paraId="7D1D412F" w14:textId="599743AA" w:rsidR="001116B9" w:rsidRDefault="001116B9" w:rsidP="00917C19">
      <w:pPr>
        <w:pStyle w:val="ListParagraph"/>
        <w:tabs>
          <w:tab w:val="left" w:pos="426"/>
        </w:tabs>
        <w:spacing w:line="240" w:lineRule="auto"/>
        <w:ind w:left="0" w:right="58"/>
        <w:jc w:val="both"/>
        <w:rPr>
          <w:rFonts w:eastAsia="Times New Roman"/>
          <w:sz w:val="22"/>
        </w:rPr>
      </w:pPr>
    </w:p>
    <w:p w14:paraId="65A6EEB6" w14:textId="77777777" w:rsidR="00DD4652" w:rsidRDefault="00DD4652" w:rsidP="00917C19">
      <w:pPr>
        <w:pStyle w:val="ListParagraph"/>
        <w:tabs>
          <w:tab w:val="left" w:pos="426"/>
        </w:tabs>
        <w:spacing w:line="240" w:lineRule="auto"/>
        <w:ind w:left="0" w:right="58"/>
        <w:jc w:val="both"/>
        <w:rPr>
          <w:rFonts w:eastAsia="Times New Roman"/>
          <w:sz w:val="22"/>
        </w:rPr>
      </w:pPr>
    </w:p>
    <w:p w14:paraId="0F870E43" w14:textId="77777777" w:rsidR="00DD4652" w:rsidRPr="00DD4652" w:rsidRDefault="00DD4652" w:rsidP="00917C19">
      <w:pPr>
        <w:pStyle w:val="ListParagraph"/>
        <w:tabs>
          <w:tab w:val="left" w:pos="426"/>
        </w:tabs>
        <w:spacing w:line="240" w:lineRule="auto"/>
        <w:ind w:left="0" w:right="58"/>
        <w:jc w:val="both"/>
        <w:rPr>
          <w:rFonts w:eastAsia="Times New Roman"/>
          <w:sz w:val="22"/>
        </w:rPr>
      </w:pPr>
    </w:p>
    <w:p w14:paraId="1D4BD446" w14:textId="77777777" w:rsidR="002A62CD" w:rsidRPr="00DD4652" w:rsidRDefault="00C51101" w:rsidP="004A0CF6">
      <w:pPr>
        <w:pStyle w:val="ListParagraph"/>
        <w:numPr>
          <w:ilvl w:val="0"/>
          <w:numId w:val="1"/>
        </w:numPr>
        <w:spacing w:line="240" w:lineRule="auto"/>
        <w:ind w:left="540" w:right="58" w:hanging="540"/>
        <w:jc w:val="both"/>
        <w:rPr>
          <w:b/>
          <w:sz w:val="22"/>
        </w:rPr>
      </w:pPr>
      <w:r w:rsidRPr="00DD4652">
        <w:rPr>
          <w:b/>
          <w:sz w:val="22"/>
        </w:rPr>
        <w:lastRenderedPageBreak/>
        <w:t>LITERATURE REVIEW</w:t>
      </w:r>
    </w:p>
    <w:p w14:paraId="2DDA1032" w14:textId="5B5E4933" w:rsidR="002A62CD" w:rsidRPr="00DD4652" w:rsidRDefault="002A62CD" w:rsidP="00ED3332">
      <w:pPr>
        <w:pStyle w:val="ListParagraph"/>
        <w:spacing w:line="240" w:lineRule="auto"/>
        <w:ind w:left="0" w:right="58" w:firstLine="540"/>
        <w:jc w:val="both"/>
        <w:rPr>
          <w:rFonts w:eastAsia="Times New Roman"/>
          <w:sz w:val="22"/>
        </w:rPr>
      </w:pPr>
      <w:r w:rsidRPr="00DD4652">
        <w:rPr>
          <w:rFonts w:eastAsia="Times New Roman"/>
          <w:sz w:val="22"/>
        </w:rPr>
        <w:t xml:space="preserve">This research is built upon three complementary main theories. </w:t>
      </w:r>
      <w:r w:rsidR="00DD4652" w:rsidRPr="00DD4652">
        <w:rPr>
          <w:rFonts w:eastAsia="Times New Roman"/>
          <w:sz w:val="22"/>
        </w:rPr>
        <w:t>Signaling</w:t>
      </w:r>
      <w:r w:rsidRPr="00DD4652">
        <w:rPr>
          <w:rFonts w:eastAsia="Times New Roman"/>
          <w:sz w:val="22"/>
        </w:rPr>
        <w:t xml:space="preserve"> </w:t>
      </w:r>
      <w:r w:rsidR="00ED3332" w:rsidRPr="00DD4652">
        <w:rPr>
          <w:rFonts w:eastAsia="Times New Roman"/>
          <w:sz w:val="22"/>
        </w:rPr>
        <w:t>t</w:t>
      </w:r>
      <w:r w:rsidRPr="00DD4652">
        <w:rPr>
          <w:rFonts w:eastAsia="Times New Roman"/>
          <w:sz w:val="22"/>
        </w:rPr>
        <w:t xml:space="preserve">heory </w:t>
      </w:r>
      <w:hyperlink w:anchor="_ENREF_39" w:tooltip="Spence, 1978 #10253" w:history="1">
        <w:r w:rsidR="00584B3B" w:rsidRPr="00DD4652">
          <w:rPr>
            <w:rStyle w:val="Hyperlink"/>
            <w:rFonts w:eastAsia="Times New Roman"/>
            <w:sz w:val="22"/>
          </w:rPr>
          <w:fldChar w:fldCharType="begin"/>
        </w:r>
        <w:r w:rsidR="00584B3B" w:rsidRPr="00DD4652">
          <w:rPr>
            <w:rStyle w:val="Hyperlink"/>
            <w:rFonts w:eastAsia="Times New Roman"/>
            <w:sz w:val="22"/>
          </w:rPr>
          <w:instrText xml:space="preserve"> ADDIN EN.CITE &lt;EndNote&gt;&lt;Cite AuthorYear="1"&gt;&lt;Author&gt;Spence&lt;/Author&gt;&lt;Year&gt;1978&lt;/Year&gt;&lt;RecNum&gt;10253&lt;/RecNum&gt;&lt;DisplayText&gt;Spence (1978)&lt;/DisplayText&gt;&lt;record&gt;&lt;rec-number&gt;10253&lt;/rec-number&gt;&lt;foreign-keys&gt;&lt;key app="EN" db-id="x5ezdazsa9zseqe5esy5zw9wxe95pawf2e0d" timestamp="1784696051"&gt;10253&lt;/key&gt;&lt;/foreign-keys&gt;&lt;ref-type name="Book Section"&gt;5&lt;/ref-type&gt;&lt;contributors&gt;&lt;authors&gt;&lt;author&gt;Spence, Michael&lt;/author&gt;&lt;/authors&gt;&lt;/contributors&gt;&lt;titles&gt;&lt;title&gt;Job market signaling&lt;/title&gt;&lt;secondary-title&gt;Uncertainty in economics&lt;/secondary-title&gt;&lt;/titles&gt;&lt;pages&gt;281-306&lt;/pages&gt;&lt;dates&gt;&lt;year&gt;1978&lt;/year&gt;&lt;/dates&gt;&lt;publisher&gt;Elsevier&lt;/publisher&gt;&lt;urls&gt;&lt;/urls&gt;&lt;electronic-resource-num&gt;https://doi.org/10.1016/B978-0-12-214850-7.50025-5&lt;/electronic-resource-num&gt;&lt;/record&gt;&lt;/Cite&gt;&lt;/EndNote&gt;</w:instrText>
        </w:r>
        <w:r w:rsidR="00584B3B" w:rsidRPr="00DD4652">
          <w:rPr>
            <w:rStyle w:val="Hyperlink"/>
            <w:rFonts w:eastAsia="Times New Roman"/>
            <w:sz w:val="22"/>
          </w:rPr>
          <w:fldChar w:fldCharType="separate"/>
        </w:r>
        <w:r w:rsidR="00584B3B" w:rsidRPr="00DD4652">
          <w:rPr>
            <w:rStyle w:val="Hyperlink"/>
            <w:rFonts w:eastAsia="Times New Roman"/>
            <w:sz w:val="22"/>
          </w:rPr>
          <w:t>Spence (1978)</w:t>
        </w:r>
        <w:r w:rsidR="00584B3B" w:rsidRPr="00DD4652">
          <w:rPr>
            <w:rStyle w:val="Hyperlink"/>
            <w:rFonts w:eastAsia="Times New Roman"/>
            <w:sz w:val="22"/>
          </w:rPr>
          <w:fldChar w:fldCharType="end"/>
        </w:r>
      </w:hyperlink>
      <w:r w:rsidRPr="00DD4652">
        <w:rPr>
          <w:rFonts w:eastAsia="Times New Roman"/>
          <w:sz w:val="22"/>
        </w:rPr>
        <w:t xml:space="preserve"> explains that under asymmetric information, entities possessing superior information will send credible signals to external parties to reduce uncertainty. Green credit practices can be understood as strategic </w:t>
      </w:r>
      <w:r w:rsidR="00DD4652" w:rsidRPr="00DD4652">
        <w:rPr>
          <w:rFonts w:eastAsia="Times New Roman"/>
          <w:sz w:val="22"/>
        </w:rPr>
        <w:t>signaling</w:t>
      </w:r>
      <w:r w:rsidRPr="00DD4652">
        <w:rPr>
          <w:rFonts w:eastAsia="Times New Roman"/>
          <w:sz w:val="22"/>
        </w:rPr>
        <w:t xml:space="preserve"> instruments that reflect the bank's quality of governance, sustainability commitment, and risk-management capacity</w:t>
      </w:r>
      <w:r w:rsidR="00EB7505" w:rsidRPr="00DD4652">
        <w:rPr>
          <w:rFonts w:eastAsia="Times New Roman"/>
          <w:color w:val="000000"/>
          <w:sz w:val="22"/>
        </w:rPr>
        <w:t xml:space="preserve"> </w:t>
      </w:r>
      <w:r w:rsidR="00EB7505" w:rsidRPr="00DD4652">
        <w:rPr>
          <w:rFonts w:eastAsia="Times New Roman"/>
          <w:color w:val="000000"/>
          <w:sz w:val="22"/>
        </w:rPr>
        <w:fldChar w:fldCharType="begin"/>
      </w:r>
      <w:r w:rsidR="00EB7505" w:rsidRPr="00DD4652">
        <w:rPr>
          <w:rFonts w:eastAsia="Times New Roman"/>
          <w:color w:val="000000"/>
          <w:sz w:val="22"/>
        </w:rPr>
        <w:instrText xml:space="preserve"> ADDIN EN.CITE &lt;EndNote&gt;&lt;Cite&gt;&lt;Author&gt;Fatemi&lt;/Author&gt;&lt;Year&gt;2018&lt;/Year&gt;&lt;RecNum&gt;6026&lt;/RecNum&gt;&lt;DisplayText&gt;(Fatemi, Glaum, &amp;amp; Kaiser, 2018)&lt;/DisplayText&gt;&lt;record&gt;&lt;rec-number&gt;6026&lt;/rec-number&gt;&lt;foreign-keys&gt;&lt;key app="EN" db-id="x5ezdazsa9zseqe5esy5zw9wxe95pawf2e0d" timestamp="1773718286"&gt;6026&lt;/key&gt;&lt;/foreign-keys&gt;&lt;ref-type name="Journal Article"&gt;17&lt;/ref-type&gt;&lt;contributors&gt;&lt;authors&gt;&lt;author&gt;Fatemi, Ali&lt;/author&gt;&lt;author&gt;Glaum, Martin&lt;/author&gt;&lt;author&gt;Kaiser, Stefanie&lt;/author&gt;&lt;/authors&gt;&lt;/contributors&gt;&lt;titles&gt;&lt;title&gt;ESG performance and firm value: The moderating role of disclosure&lt;/title&gt;&lt;secondary-title&gt;Global finance journal&lt;/secondary-title&gt;&lt;/titles&gt;&lt;periodical&gt;&lt;full-title&gt;Global finance journal&lt;/full-title&gt;&lt;/periodical&gt;&lt;pages&gt;45-64&lt;/pages&gt;&lt;volume&gt;38&lt;/volume&gt;&lt;dates&gt;&lt;year&gt;2018&lt;/year&gt;&lt;/dates&gt;&lt;isbn&gt;1044-0283&lt;/isbn&gt;&lt;urls&gt;&lt;/urls&gt;&lt;electronic-resource-num&gt;https://doi.org/10.1016/j.gfj.2017.03.001&lt;/electronic-resource-num&gt;&lt;/record&gt;&lt;/Cite&gt;&lt;/EndNote&gt;</w:instrText>
      </w:r>
      <w:r w:rsidR="00EB7505" w:rsidRPr="00DD4652">
        <w:rPr>
          <w:rFonts w:eastAsia="Times New Roman"/>
          <w:color w:val="000000"/>
          <w:sz w:val="22"/>
        </w:rPr>
        <w:fldChar w:fldCharType="separate"/>
      </w:r>
      <w:r w:rsidR="00EB7505" w:rsidRPr="00DD4652">
        <w:rPr>
          <w:rFonts w:eastAsia="Times New Roman"/>
          <w:color w:val="000000"/>
          <w:sz w:val="22"/>
        </w:rPr>
        <w:t>(</w:t>
      </w:r>
      <w:hyperlink w:anchor="_ENREF_14" w:tooltip="Fatemi, 2018 #6026" w:history="1">
        <w:r w:rsidR="00EB7505" w:rsidRPr="00DD4652">
          <w:rPr>
            <w:rStyle w:val="Hyperlink"/>
            <w:rFonts w:eastAsia="Times New Roman"/>
            <w:sz w:val="22"/>
          </w:rPr>
          <w:t>Fatemi, Glaum, &amp; Kaiser, 2018</w:t>
        </w:r>
      </w:hyperlink>
      <w:r w:rsidR="00EB7505" w:rsidRPr="00DD4652">
        <w:rPr>
          <w:rFonts w:eastAsia="Times New Roman"/>
          <w:color w:val="000000"/>
          <w:sz w:val="22"/>
        </w:rPr>
        <w:t>)</w:t>
      </w:r>
      <w:r w:rsidR="00EB7505" w:rsidRPr="00DD4652">
        <w:rPr>
          <w:rFonts w:eastAsia="Times New Roman"/>
          <w:color w:val="000000"/>
          <w:sz w:val="22"/>
        </w:rPr>
        <w:fldChar w:fldCharType="end"/>
      </w:r>
      <w:r w:rsidRPr="00DD4652">
        <w:rPr>
          <w:rFonts w:eastAsia="Times New Roman"/>
          <w:sz w:val="22"/>
        </w:rPr>
        <w:t xml:space="preserve">. Agency </w:t>
      </w:r>
      <w:r w:rsidR="00A74221" w:rsidRPr="00DD4652">
        <w:rPr>
          <w:rFonts w:eastAsia="Times New Roman"/>
          <w:sz w:val="22"/>
        </w:rPr>
        <w:t>t</w:t>
      </w:r>
      <w:r w:rsidRPr="00DD4652">
        <w:rPr>
          <w:rFonts w:eastAsia="Times New Roman"/>
          <w:sz w:val="22"/>
        </w:rPr>
        <w:t xml:space="preserve">heory </w:t>
      </w:r>
      <w:hyperlink w:anchor="_ENREF_19" w:tooltip="Jensen, 2019 #810" w:history="1">
        <w:r w:rsidR="00A74221" w:rsidRPr="00DD4652">
          <w:rPr>
            <w:rStyle w:val="Hyperlink"/>
            <w:rFonts w:eastAsia="Times New Roman"/>
            <w:sz w:val="22"/>
          </w:rPr>
          <w:fldChar w:fldCharType="begin"/>
        </w:r>
        <w:r w:rsidR="00A74221" w:rsidRPr="00DD4652">
          <w:rPr>
            <w:rStyle w:val="Hyperlink"/>
            <w:rFonts w:eastAsia="Times New Roman"/>
            <w:sz w:val="22"/>
          </w:rPr>
          <w:instrText xml:space="preserve"> ADDIN EN.CITE &lt;EndNote&gt;&lt;Cite AuthorYear="1"&gt;&lt;Author&gt;Jensen&lt;/Author&gt;&lt;Year&gt;2019&lt;/Year&gt;&lt;RecNum&gt;810&lt;/RecNum&gt;&lt;DisplayText&gt;Jensen and Meckling (2019)&lt;/DisplayText&gt;&lt;record&gt;&lt;rec-number&gt;810&lt;/rec-number&gt;&lt;foreign-keys&gt;&lt;key app="EN" db-id="x5ezdazsa9zseqe5esy5zw9wxe95pawf2e0d" timestamp="1760948504"&gt;810&lt;/key&gt;&lt;/foreign-keys&gt;&lt;ref-type name="Book Section"&gt;5&lt;/ref-type&gt;&lt;contributors&gt;&lt;authors&gt;&lt;author&gt;Jensen, Michael C&lt;/author&gt;&lt;author&gt;Meckling, William H&lt;/author&gt;&lt;/authors&gt;&lt;/contributors&gt;&lt;titles&gt;&lt;title&gt;Theory of the firm: Managerial behavior, agency costs and ownership structure&lt;/title&gt;&lt;secondary-title&gt;Corporate governance&lt;/secondary-title&gt;&lt;/titles&gt;&lt;pages&gt;77-132&lt;/pages&gt;&lt;dates&gt;&lt;year&gt;2019&lt;/year&gt;&lt;/dates&gt;&lt;publisher&gt;Gower&lt;/publisher&gt;&lt;urls&gt;&lt;/urls&gt;&lt;electronic-resource-num&gt;https://doi.org/10.1016/0304-405x(76)90026-x&lt;/electronic-resource-num&gt;&lt;/record&gt;&lt;/Cite&gt;&lt;/EndNote&gt;</w:instrText>
        </w:r>
        <w:r w:rsidR="00A74221" w:rsidRPr="00DD4652">
          <w:rPr>
            <w:rStyle w:val="Hyperlink"/>
            <w:rFonts w:eastAsia="Times New Roman"/>
            <w:sz w:val="22"/>
          </w:rPr>
          <w:fldChar w:fldCharType="separate"/>
        </w:r>
        <w:r w:rsidR="00A74221" w:rsidRPr="00DD4652">
          <w:rPr>
            <w:rStyle w:val="Hyperlink"/>
            <w:rFonts w:eastAsia="Times New Roman"/>
            <w:sz w:val="22"/>
          </w:rPr>
          <w:t>Jensen and Meckling (2019)</w:t>
        </w:r>
        <w:r w:rsidR="00A74221" w:rsidRPr="00DD4652">
          <w:rPr>
            <w:rStyle w:val="Hyperlink"/>
            <w:rFonts w:eastAsia="Times New Roman"/>
            <w:sz w:val="22"/>
          </w:rPr>
          <w:fldChar w:fldCharType="end"/>
        </w:r>
      </w:hyperlink>
      <w:r w:rsidRPr="00DD4652">
        <w:rPr>
          <w:rFonts w:eastAsia="Times New Roman"/>
          <w:sz w:val="22"/>
        </w:rPr>
        <w:t xml:space="preserve"> explains that the principal</w:t>
      </w:r>
      <w:r w:rsidR="00DD4652">
        <w:rPr>
          <w:rFonts w:eastAsia="Times New Roman"/>
          <w:sz w:val="22"/>
        </w:rPr>
        <w:t xml:space="preserve"> </w:t>
      </w:r>
      <w:r w:rsidRPr="00DD4652">
        <w:rPr>
          <w:rFonts w:eastAsia="Times New Roman"/>
          <w:sz w:val="22"/>
        </w:rPr>
        <w:t xml:space="preserve">agent relationship within banks inherently contains conflicts of interest, manifested in financing decisions and credit supervision. </w:t>
      </w:r>
      <w:hyperlink w:anchor="_ENREF_8" w:tooltip="Berger, 1997 #10256" w:history="1">
        <w:r w:rsidR="00A72946" w:rsidRPr="00DD4652">
          <w:rPr>
            <w:rStyle w:val="Hyperlink"/>
            <w:rFonts w:eastAsia="Times New Roman"/>
            <w:sz w:val="22"/>
          </w:rPr>
          <w:fldChar w:fldCharType="begin"/>
        </w:r>
        <w:r w:rsidR="00A72946" w:rsidRPr="00DD4652">
          <w:rPr>
            <w:rStyle w:val="Hyperlink"/>
            <w:rFonts w:eastAsia="Times New Roman"/>
            <w:sz w:val="22"/>
          </w:rPr>
          <w:instrText xml:space="preserve"> ADDIN EN.CITE &lt;EndNote&gt;&lt;Cite AuthorYear="1"&gt;&lt;Author&gt;Berger&lt;/Author&gt;&lt;Year&gt;1997&lt;/Year&gt;&lt;RecNum&gt;10256&lt;/RecNum&gt;&lt;DisplayText&gt;Berger and DeYoung (1997)&lt;/DisplayText&gt;&lt;record&gt;&lt;rec-number&gt;10256&lt;/rec-number&gt;&lt;foreign-keys&gt;&lt;key app="EN" db-id="x5ezdazsa9zseqe5esy5zw9wxe95pawf2e0d" timestamp="1784700433"&gt;10256&lt;/key&gt;&lt;/foreign-keys&gt;&lt;ref-type name="Journal Article"&gt;17&lt;/ref-type&gt;&lt;contributors&gt;&lt;authors&gt;&lt;author&gt;Berger, Allen N&lt;/author&gt;&lt;author&gt;DeYoung, Robert&lt;/author&gt;&lt;/authors&gt;&lt;/contributors&gt;&lt;titles&gt;&lt;title&gt;Problem loans and cost efficiency in commercial banks&lt;/title&gt;&lt;secondary-title&gt;Journal of banking &amp;amp; finance&lt;/secondary-title&gt;&lt;/titles&gt;&lt;periodical&gt;&lt;full-title&gt;Journal of Banking &amp;amp; finance&lt;/full-title&gt;&lt;/periodical&gt;&lt;pages&gt;849-870&lt;/pages&gt;&lt;volume&gt;21&lt;/volume&gt;&lt;number&gt;6&lt;/number&gt;&lt;dates&gt;&lt;year&gt;1997&lt;/year&gt;&lt;/dates&gt;&lt;isbn&gt;0378-4266&lt;/isbn&gt;&lt;urls&gt;&lt;/urls&gt;&lt;electronic-resource-num&gt;https://doi.org/10.1016/S0378-4266(97)00003-4&lt;/electronic-resource-num&gt;&lt;/record&gt;&lt;/Cite&gt;&lt;/EndNote&gt;</w:instrText>
        </w:r>
        <w:r w:rsidR="00A72946" w:rsidRPr="00DD4652">
          <w:rPr>
            <w:rStyle w:val="Hyperlink"/>
            <w:rFonts w:eastAsia="Times New Roman"/>
            <w:sz w:val="22"/>
          </w:rPr>
          <w:fldChar w:fldCharType="separate"/>
        </w:r>
        <w:r w:rsidR="00A72946" w:rsidRPr="00DD4652">
          <w:rPr>
            <w:rStyle w:val="Hyperlink"/>
            <w:rFonts w:eastAsia="Times New Roman"/>
            <w:sz w:val="22"/>
          </w:rPr>
          <w:t>Berger and DeYoung (1997)</w:t>
        </w:r>
        <w:r w:rsidR="00A72946" w:rsidRPr="00DD4652">
          <w:rPr>
            <w:rStyle w:val="Hyperlink"/>
            <w:rFonts w:eastAsia="Times New Roman"/>
            <w:sz w:val="22"/>
          </w:rPr>
          <w:fldChar w:fldCharType="end"/>
        </w:r>
      </w:hyperlink>
      <w:r w:rsidR="00A72946" w:rsidRPr="00DD4652">
        <w:rPr>
          <w:rFonts w:eastAsia="Times New Roman"/>
          <w:sz w:val="22"/>
        </w:rPr>
        <w:t xml:space="preserve"> </w:t>
      </w:r>
      <w:r w:rsidRPr="00DD4652">
        <w:rPr>
          <w:rFonts w:eastAsia="Times New Roman"/>
          <w:sz w:val="22"/>
        </w:rPr>
        <w:t>developed the bad management hypothesis, which states that high NPL reflects management's failure in supervision. Resource-</w:t>
      </w:r>
      <w:r w:rsidR="00ED3332" w:rsidRPr="00DD4652">
        <w:rPr>
          <w:rFonts w:eastAsia="Times New Roman"/>
          <w:sz w:val="22"/>
        </w:rPr>
        <w:t xml:space="preserve">based theory </w:t>
      </w:r>
      <w:hyperlink w:anchor="_ENREF_6" w:tooltip="Barney, 1991 #808" w:history="1">
        <w:r w:rsidR="00A15085" w:rsidRPr="00DD4652">
          <w:rPr>
            <w:rStyle w:val="Hyperlink"/>
            <w:rFonts w:eastAsia="Times New Roman"/>
            <w:sz w:val="22"/>
          </w:rPr>
          <w:fldChar w:fldCharType="begin"/>
        </w:r>
        <w:r w:rsidR="00A15085" w:rsidRPr="00DD4652">
          <w:rPr>
            <w:rStyle w:val="Hyperlink"/>
            <w:rFonts w:eastAsia="Times New Roman"/>
            <w:sz w:val="22"/>
          </w:rPr>
          <w:instrText xml:space="preserve"> ADDIN EN.CITE &lt;EndNote&gt;&lt;Cite AuthorYear="1"&gt;&lt;Author&gt;Barney&lt;/Author&gt;&lt;Year&gt;1991&lt;/Year&gt;&lt;RecNum&gt;808&lt;/RecNum&gt;&lt;DisplayText&gt;Barney (1991)&lt;/DisplayText&gt;&lt;record&gt;&lt;rec-number&gt;808&lt;/rec-number&gt;&lt;foreign-keys&gt;&lt;key app="EN" db-id="x5ezdazsa9zseqe5esy5zw9wxe95pawf2e0d" timestamp="1760948043"&gt;808&lt;/key&gt;&lt;/foreign-keys&gt;&lt;ref-type name="Journal Article"&gt;17&lt;/ref-type&gt;&lt;contributors&gt;&lt;authors&gt;&lt;author&gt;Barney, Jay&lt;/author&gt;&lt;/authors&gt;&lt;/contributors&gt;&lt;titles&gt;&lt;title&gt;Firm resources and sustained competitive advantage&lt;/title&gt;&lt;secondary-title&gt;Journal of management&lt;/secondary-title&gt;&lt;/titles&gt;&lt;periodical&gt;&lt;full-title&gt;Journal of Management&lt;/full-title&gt;&lt;/periodical&gt;&lt;pages&gt;99-120&lt;/pages&gt;&lt;volume&gt;17&lt;/volume&gt;&lt;number&gt;1&lt;/number&gt;&lt;dates&gt;&lt;year&gt;1991&lt;/year&gt;&lt;/dates&gt;&lt;isbn&gt;0149-2063&lt;/isbn&gt;&lt;urls&gt;&lt;/urls&gt;&lt;electronic-resource-num&gt;https://doi.org/10.1177/014920639101700108&lt;/electronic-resource-num&gt;&lt;/record&gt;&lt;/Cite&gt;&lt;/EndNote&gt;</w:instrText>
        </w:r>
        <w:r w:rsidR="00A15085" w:rsidRPr="00DD4652">
          <w:rPr>
            <w:rStyle w:val="Hyperlink"/>
            <w:rFonts w:eastAsia="Times New Roman"/>
            <w:sz w:val="22"/>
          </w:rPr>
          <w:fldChar w:fldCharType="separate"/>
        </w:r>
        <w:r w:rsidR="00A15085" w:rsidRPr="00DD4652">
          <w:rPr>
            <w:rStyle w:val="Hyperlink"/>
            <w:rFonts w:eastAsia="Times New Roman"/>
            <w:sz w:val="22"/>
          </w:rPr>
          <w:t>Barney (1991)</w:t>
        </w:r>
        <w:r w:rsidR="00A15085" w:rsidRPr="00DD4652">
          <w:rPr>
            <w:rStyle w:val="Hyperlink"/>
            <w:rFonts w:eastAsia="Times New Roman"/>
            <w:sz w:val="22"/>
          </w:rPr>
          <w:fldChar w:fldCharType="end"/>
        </w:r>
      </w:hyperlink>
      <w:r w:rsidRPr="00DD4652">
        <w:rPr>
          <w:rFonts w:eastAsia="Times New Roman"/>
          <w:sz w:val="22"/>
        </w:rPr>
        <w:t xml:space="preserve"> explains that sustainable competitive advantage stems from resources that are </w:t>
      </w:r>
      <w:r w:rsidR="00ED3332" w:rsidRPr="00DD4652">
        <w:rPr>
          <w:rFonts w:eastAsia="Times New Roman"/>
          <w:sz w:val="22"/>
        </w:rPr>
        <w:t xml:space="preserve">Valuable, Rare, Inimitable, </w:t>
      </w:r>
      <w:r w:rsidR="00790F48" w:rsidRPr="00DD4652">
        <w:rPr>
          <w:rFonts w:eastAsia="Times New Roman"/>
          <w:sz w:val="22"/>
        </w:rPr>
        <w:t>a</w:t>
      </w:r>
      <w:r w:rsidR="00ED3332" w:rsidRPr="00DD4652">
        <w:rPr>
          <w:rFonts w:eastAsia="Times New Roman"/>
          <w:sz w:val="22"/>
        </w:rPr>
        <w:t>nd Non-</w:t>
      </w:r>
      <w:r w:rsidR="00790F48" w:rsidRPr="00DD4652">
        <w:rPr>
          <w:rFonts w:eastAsia="Times New Roman"/>
          <w:sz w:val="22"/>
        </w:rPr>
        <w:t>s</w:t>
      </w:r>
      <w:r w:rsidR="00ED3332" w:rsidRPr="00DD4652">
        <w:rPr>
          <w:rFonts w:eastAsia="Times New Roman"/>
          <w:sz w:val="22"/>
        </w:rPr>
        <w:t xml:space="preserve">ubstitutable </w:t>
      </w:r>
      <w:r w:rsidRPr="00DD4652">
        <w:rPr>
          <w:rFonts w:eastAsia="Times New Roman"/>
          <w:sz w:val="22"/>
        </w:rPr>
        <w:t>(VRIN). Large banks that accumulate VRIN resources are predicted to be able to convert each performance variable into profitability more efficiently, so that bank size is positioned as a moderating variable.</w:t>
      </w:r>
    </w:p>
    <w:p w14:paraId="5D96DB26" w14:textId="77777777" w:rsidR="004A0CF6" w:rsidRPr="00DD4652" w:rsidRDefault="004A0CF6" w:rsidP="00917C19">
      <w:pPr>
        <w:pStyle w:val="ListParagraph"/>
        <w:spacing w:line="240" w:lineRule="auto"/>
        <w:ind w:left="0" w:right="58" w:firstLine="709"/>
        <w:jc w:val="both"/>
        <w:rPr>
          <w:b/>
          <w:sz w:val="22"/>
        </w:rPr>
      </w:pPr>
    </w:p>
    <w:p w14:paraId="058529B8" w14:textId="74F94BF3" w:rsidR="001116B9" w:rsidRPr="00DD4652" w:rsidRDefault="001116B9" w:rsidP="00790F48">
      <w:pPr>
        <w:pStyle w:val="ListParagraph"/>
        <w:numPr>
          <w:ilvl w:val="1"/>
          <w:numId w:val="1"/>
        </w:numPr>
        <w:spacing w:line="240" w:lineRule="auto"/>
        <w:ind w:left="540" w:right="58" w:hanging="540"/>
        <w:jc w:val="both"/>
        <w:rPr>
          <w:sz w:val="22"/>
        </w:rPr>
      </w:pPr>
      <w:r w:rsidRPr="00DD4652">
        <w:rPr>
          <w:b/>
          <w:bCs/>
          <w:sz w:val="22"/>
        </w:rPr>
        <w:t>Profitabilit</w:t>
      </w:r>
      <w:r w:rsidR="002A62CD" w:rsidRPr="00DD4652">
        <w:rPr>
          <w:b/>
          <w:bCs/>
          <w:sz w:val="22"/>
        </w:rPr>
        <w:t>y</w:t>
      </w:r>
      <w:r w:rsidRPr="00DD4652">
        <w:rPr>
          <w:b/>
          <w:bCs/>
          <w:sz w:val="22"/>
        </w:rPr>
        <w:t xml:space="preserve"> (Return on Assets)</w:t>
      </w:r>
    </w:p>
    <w:p w14:paraId="4D7822A9" w14:textId="38553FA3" w:rsidR="002A62CD" w:rsidRPr="00DD4652" w:rsidRDefault="002A62CD" w:rsidP="00790F48">
      <w:pPr>
        <w:spacing w:line="240" w:lineRule="auto"/>
        <w:ind w:firstLine="540"/>
        <w:jc w:val="both"/>
        <w:rPr>
          <w:rFonts w:eastAsia="Times New Roman"/>
          <w:sz w:val="22"/>
        </w:rPr>
      </w:pPr>
      <w:r w:rsidRPr="00DD4652">
        <w:rPr>
          <w:rFonts w:eastAsia="Times New Roman"/>
          <w:sz w:val="22"/>
        </w:rPr>
        <w:t>Profitability is the company's ability to generate profit from the utilization of the resources it owns. In the banking context, profitability reflects management's effectiveness in converting all entrusted resources into profit</w:t>
      </w:r>
      <w:r w:rsidR="000343D7" w:rsidRPr="00DD4652">
        <w:rPr>
          <w:rFonts w:eastAsia="Times New Roman"/>
          <w:color w:val="000000"/>
          <w:sz w:val="22"/>
        </w:rPr>
        <w:t xml:space="preserve"> </w:t>
      </w:r>
      <w:r w:rsidR="000343D7" w:rsidRPr="00DD4652">
        <w:rPr>
          <w:rFonts w:eastAsia="Times New Roman"/>
          <w:color w:val="000000"/>
          <w:sz w:val="22"/>
        </w:rPr>
        <w:fldChar w:fldCharType="begin"/>
      </w:r>
      <w:r w:rsidR="000343D7" w:rsidRPr="00DD4652">
        <w:rPr>
          <w:rFonts w:eastAsia="Times New Roman"/>
          <w:color w:val="000000"/>
          <w:sz w:val="22"/>
        </w:rPr>
        <w:instrText xml:space="preserve"> ADDIN EN.CITE &lt;EndNote&gt;&lt;Cite&gt;&lt;Author&gt;Sutrisno&lt;/Author&gt;&lt;Year&gt;2024&lt;/Year&gt;&lt;RecNum&gt;10222&lt;/RecNum&gt;&lt;DisplayText&gt;(Sutrisno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Fonts w:eastAsia="Times New Roman"/>
          <w:color w:val="000000"/>
          <w:sz w:val="22"/>
        </w:rPr>
        <w:fldChar w:fldCharType="separate"/>
      </w:r>
      <w:r w:rsidR="000343D7" w:rsidRPr="00DD4652">
        <w:rPr>
          <w:rFonts w:eastAsia="Times New Roman"/>
          <w:color w:val="000000"/>
          <w:sz w:val="22"/>
        </w:rPr>
        <w:t>(</w:t>
      </w:r>
      <w:hyperlink w:anchor="_ENREF_40" w:tooltip="Sutrisno, 2024 #10222" w:history="1">
        <w:r w:rsidR="000343D7" w:rsidRPr="00DD4652">
          <w:rPr>
            <w:rStyle w:val="Hyperlink"/>
            <w:rFonts w:eastAsia="Times New Roman"/>
            <w:sz w:val="22"/>
          </w:rPr>
          <w:t>Sutrisno et al., 2024</w:t>
        </w:r>
      </w:hyperlink>
      <w:r w:rsidR="000343D7" w:rsidRPr="00DD4652">
        <w:rPr>
          <w:rFonts w:eastAsia="Times New Roman"/>
          <w:color w:val="000000"/>
          <w:sz w:val="22"/>
        </w:rPr>
        <w:t>)</w:t>
      </w:r>
      <w:r w:rsidR="000343D7" w:rsidRPr="00DD4652">
        <w:rPr>
          <w:rFonts w:eastAsia="Times New Roman"/>
          <w:color w:val="000000"/>
          <w:sz w:val="22"/>
        </w:rPr>
        <w:fldChar w:fldCharType="end"/>
      </w:r>
      <w:r w:rsidRPr="00DD4652">
        <w:rPr>
          <w:rFonts w:eastAsia="Times New Roman"/>
          <w:sz w:val="22"/>
        </w:rPr>
        <w:t>. This study uses Return on Assets (ROA) as a profitability proxy because ROA measures profit relative to total assets without distortion from differences in capital structure across banks, in contrast to Return on Equity (ROE), which is influenced by leverage</w:t>
      </w:r>
      <w:r w:rsidR="000D41A4" w:rsidRPr="00DD4652">
        <w:rPr>
          <w:rFonts w:eastAsia="Times New Roman"/>
          <w:color w:val="000000"/>
          <w:sz w:val="22"/>
        </w:rPr>
        <w:t xml:space="preserve"> </w:t>
      </w:r>
      <w:r w:rsidR="000D41A4" w:rsidRPr="00DD4652">
        <w:rPr>
          <w:rFonts w:eastAsia="Times New Roman"/>
          <w:color w:val="000000"/>
          <w:sz w:val="22"/>
        </w:rPr>
        <w:fldChar w:fldCharType="begin"/>
      </w:r>
      <w:r w:rsidR="000F0758" w:rsidRPr="00DD4652">
        <w:rPr>
          <w:rFonts w:eastAsia="Times New Roman"/>
          <w:color w:val="000000"/>
          <w:sz w:val="22"/>
        </w:rPr>
        <w:instrText xml:space="preserve"> ADDIN EN.CITE &lt;EndNote&gt;&lt;Cite&gt;&lt;Author&gt;Riyanti&lt;/Author&gt;&lt;Year&gt;2025&lt;/Year&gt;&lt;RecNum&gt;10228&lt;/RecNum&gt;&lt;DisplayText&gt;(Lian et al., 2022; Riyanti et al., 2025)&lt;/DisplayText&gt;&lt;record&gt;&lt;rec-number&gt;10228&lt;/rec-number&gt;&lt;foreign-keys&gt;&lt;key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Cite&gt;&lt;Author&gt;Lian&lt;/Author&gt;&lt;Year&gt;2022&lt;/Year&gt;&lt;RecNum&gt;10235&lt;/RecNum&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0D41A4" w:rsidRPr="00DD4652">
        <w:rPr>
          <w:rFonts w:eastAsia="Times New Roman"/>
          <w:color w:val="000000"/>
          <w:sz w:val="22"/>
        </w:rPr>
        <w:fldChar w:fldCharType="separate"/>
      </w:r>
      <w:r w:rsidR="000F0758" w:rsidRPr="00DD4652">
        <w:rPr>
          <w:rFonts w:eastAsia="Times New Roman"/>
          <w:color w:val="000000"/>
          <w:sz w:val="22"/>
        </w:rPr>
        <w:t>(</w:t>
      </w:r>
      <w:hyperlink w:anchor="_ENREF_24" w:tooltip="Lian, 2022 #10235" w:history="1">
        <w:r w:rsidR="000F0758" w:rsidRPr="00DD4652">
          <w:rPr>
            <w:rStyle w:val="Hyperlink"/>
            <w:rFonts w:eastAsia="Times New Roman"/>
            <w:sz w:val="22"/>
          </w:rPr>
          <w:t>Lian et al., 2022</w:t>
        </w:r>
      </w:hyperlink>
      <w:r w:rsidR="000F0758" w:rsidRPr="00DD4652">
        <w:rPr>
          <w:rFonts w:eastAsia="Times New Roman"/>
          <w:color w:val="000000"/>
          <w:sz w:val="22"/>
        </w:rPr>
        <w:t xml:space="preserve">; </w:t>
      </w:r>
      <w:hyperlink w:anchor="_ENREF_34" w:tooltip="Riyanti, 2025 #10228" w:history="1">
        <w:r w:rsidR="000F0758" w:rsidRPr="00DD4652">
          <w:rPr>
            <w:rStyle w:val="Hyperlink"/>
            <w:rFonts w:eastAsia="Times New Roman"/>
            <w:sz w:val="22"/>
          </w:rPr>
          <w:t>Riyanti et al., 2025</w:t>
        </w:r>
      </w:hyperlink>
      <w:r w:rsidR="000F0758" w:rsidRPr="00DD4652">
        <w:rPr>
          <w:rFonts w:eastAsia="Times New Roman"/>
          <w:color w:val="000000"/>
          <w:sz w:val="22"/>
        </w:rPr>
        <w:t>)</w:t>
      </w:r>
      <w:r w:rsidR="000D41A4" w:rsidRPr="00DD4652">
        <w:rPr>
          <w:rFonts w:eastAsia="Times New Roman"/>
          <w:color w:val="000000"/>
          <w:sz w:val="22"/>
        </w:rPr>
        <w:fldChar w:fldCharType="end"/>
      </w:r>
      <w:r w:rsidRPr="00DD4652">
        <w:rPr>
          <w:rFonts w:eastAsia="Times New Roman"/>
          <w:sz w:val="22"/>
        </w:rPr>
        <w:t xml:space="preserve">. </w:t>
      </w:r>
      <w:hyperlink w:anchor="_ENREF_23" w:tooltip="Lamothe, 2024 #10257" w:history="1">
        <w:r w:rsidR="00C75CB6" w:rsidRPr="00DD4652">
          <w:rPr>
            <w:rStyle w:val="Hyperlink"/>
            <w:rFonts w:eastAsia="Times New Roman"/>
            <w:sz w:val="22"/>
          </w:rPr>
          <w:fldChar w:fldCharType="begin"/>
        </w:r>
        <w:r w:rsidR="00C75CB6" w:rsidRPr="00DD4652">
          <w:rPr>
            <w:rStyle w:val="Hyperlink"/>
            <w:rFonts w:eastAsia="Times New Roman"/>
            <w:sz w:val="22"/>
          </w:rPr>
          <w:instrText xml:space="preserve"> ADDIN EN.CITE &lt;EndNote&gt;&lt;Cite AuthorYear="1"&gt;&lt;Author&gt;Lamothe&lt;/Author&gt;&lt;Year&gt;2024&lt;/Year&gt;&lt;RecNum&gt;10257&lt;/RecNum&gt;&lt;DisplayText&gt;Lamothe, Delgado, Solano, and Fernández (2024)&lt;/DisplayText&gt;&lt;record&gt;&lt;rec-number&gt;10257&lt;/rec-number&gt;&lt;foreign-keys&gt;&lt;key app="EN" db-id="x5ezdazsa9zseqe5esy5zw9wxe95pawf2e0d" timestamp="1784700597"&gt;10257&lt;/key&gt;&lt;/foreign-keys&gt;&lt;ref-type name="Journal Article"&gt;17&lt;/ref-type&gt;&lt;contributors&gt;&lt;authors&gt;&lt;author&gt;Lamothe, Prosper&lt;/author&gt;&lt;author&gt;Delgado, Enrique&lt;/author&gt;&lt;author&gt;Solano, Miguel A&lt;/author&gt;&lt;author&gt;Fernández, Sergio M&lt;/author&gt;&lt;/authors&gt;&lt;/contributors&gt;&lt;titles&gt;&lt;title&gt;A global analysis of bank profitability factors&lt;/title&gt;&lt;secondary-title&gt;Humanities and Social Sciences Communications&lt;/secondary-title&gt;&lt;/titles&gt;&lt;periodical&gt;&lt;full-title&gt;Humanities and Social Sciences Communications&lt;/full-title&gt;&lt;/periodical&gt;&lt;pages&gt;1-12&lt;/pages&gt;&lt;volume&gt;11&lt;/volume&gt;&lt;number&gt;1&lt;/number&gt;&lt;dates&gt;&lt;year&gt;2024&lt;/year&gt;&lt;/dates&gt;&lt;isbn&gt;2662-9992&lt;/isbn&gt;&lt;urls&gt;&lt;/urls&gt;&lt;electronic-resource-num&gt;https://doi.org/10.1057/s41599-023-02545-6&lt;/electronic-resource-num&gt;&lt;/record&gt;&lt;/Cite&gt;&lt;/EndNote&gt;</w:instrText>
        </w:r>
        <w:r w:rsidR="00C75CB6" w:rsidRPr="00DD4652">
          <w:rPr>
            <w:rStyle w:val="Hyperlink"/>
            <w:rFonts w:eastAsia="Times New Roman"/>
            <w:sz w:val="22"/>
          </w:rPr>
          <w:fldChar w:fldCharType="separate"/>
        </w:r>
        <w:r w:rsidR="00C75CB6" w:rsidRPr="00DD4652">
          <w:rPr>
            <w:rStyle w:val="Hyperlink"/>
            <w:rFonts w:eastAsia="Times New Roman"/>
            <w:sz w:val="22"/>
          </w:rPr>
          <w:t>Lamothe, Delgado, Solano, and Fernández (2024)</w:t>
        </w:r>
        <w:r w:rsidR="00C75CB6" w:rsidRPr="00DD4652">
          <w:rPr>
            <w:rStyle w:val="Hyperlink"/>
            <w:rFonts w:eastAsia="Times New Roman"/>
            <w:sz w:val="22"/>
          </w:rPr>
          <w:fldChar w:fldCharType="end"/>
        </w:r>
      </w:hyperlink>
      <w:r w:rsidR="00C75CB6" w:rsidRPr="00DD4652">
        <w:rPr>
          <w:rFonts w:eastAsia="Times New Roman"/>
          <w:sz w:val="22"/>
        </w:rPr>
        <w:t xml:space="preserve"> </w:t>
      </w:r>
      <w:r w:rsidRPr="00DD4652">
        <w:rPr>
          <w:rFonts w:eastAsia="Times New Roman"/>
          <w:sz w:val="22"/>
        </w:rPr>
        <w:t xml:space="preserve">in a cross-country study covering 110 countries, confirm that ROA remains the most robust and comparable profitability indicator across banks. </w:t>
      </w:r>
      <w:hyperlink w:anchor="_ENREF_41" w:tooltip="Tan, 2012 #10223" w:history="1">
        <w:r w:rsidR="0013282B" w:rsidRPr="00DD4652">
          <w:rPr>
            <w:rStyle w:val="Hyperlink"/>
            <w:rFonts w:eastAsia="Times New Roman"/>
            <w:sz w:val="22"/>
          </w:rPr>
          <w:fldChar w:fldCharType="begin"/>
        </w:r>
        <w:r w:rsidR="0013282B" w:rsidRPr="00DD4652">
          <w:rPr>
            <w:rStyle w:val="Hyperlink"/>
            <w:rFonts w:eastAsia="Times New Roman"/>
            <w:sz w:val="22"/>
          </w:rPr>
          <w:instrText xml:space="preserve"> ADDIN EN.CITE &lt;EndNote&gt;&lt;Cite AuthorYear="1"&gt;&lt;Author&gt;Tan&lt;/Author&gt;&lt;Year&gt;2012&lt;/Year&gt;&lt;RecNum&gt;10223&lt;/RecNum&gt;&lt;DisplayText&gt;Tan and Floros (2012)&lt;/DisplayText&gt;&lt;record&gt;&lt;rec-number&gt;10223&lt;/rec-number&gt;&lt;foreign-keys&gt;&lt;key app="EN" db-id="x5ezdazsa9zseqe5esy5zw9wxe95pawf2e0d" timestamp="1784692166"&gt;10223&lt;/key&gt;&lt;/foreign-keys&gt;&lt;ref-type name="Journal Article"&gt;17&lt;/ref-type&gt;&lt;contributors&gt;&lt;authors&gt;&lt;author&gt;Tan, Yong&lt;/author&gt;&lt;author&gt;Floros, Christos&lt;/author&gt;&lt;/authors&gt;&lt;/contributors&gt;&lt;titles&gt;&lt;title&gt;Bank profitability and inflation: The case of China&lt;/title&gt;&lt;secondary-title&gt;Journal of Economic studies&lt;/secondary-title&gt;&lt;/titles&gt;&lt;periodical&gt;&lt;full-title&gt;Journal of Economic studies&lt;/full-title&gt;&lt;/periodical&gt;&lt;pages&gt;675-696&lt;/pages&gt;&lt;volume&gt;39&lt;/volume&gt;&lt;number&gt;6&lt;/number&gt;&lt;dates&gt;&lt;year&gt;2012&lt;/year&gt;&lt;/dates&gt;&lt;isbn&gt;0144-3585&lt;/isbn&gt;&lt;urls&gt;&lt;/urls&gt;&lt;electronic-resource-num&gt;https://doi.org/10.1108/01443581211274610&lt;/electronic-resource-num&gt;&lt;/record&gt;&lt;/Cite&gt;&lt;/EndNote&gt;</w:instrText>
        </w:r>
        <w:r w:rsidR="0013282B" w:rsidRPr="00DD4652">
          <w:rPr>
            <w:rStyle w:val="Hyperlink"/>
            <w:rFonts w:eastAsia="Times New Roman"/>
            <w:sz w:val="22"/>
          </w:rPr>
          <w:fldChar w:fldCharType="separate"/>
        </w:r>
        <w:r w:rsidR="0013282B" w:rsidRPr="00DD4652">
          <w:rPr>
            <w:rStyle w:val="Hyperlink"/>
            <w:rFonts w:eastAsia="Times New Roman"/>
            <w:sz w:val="22"/>
          </w:rPr>
          <w:t>Tan and Floros (2012)</w:t>
        </w:r>
        <w:r w:rsidR="0013282B" w:rsidRPr="00DD4652">
          <w:rPr>
            <w:rStyle w:val="Hyperlink"/>
            <w:rFonts w:eastAsia="Times New Roman"/>
            <w:sz w:val="22"/>
          </w:rPr>
          <w:fldChar w:fldCharType="end"/>
        </w:r>
      </w:hyperlink>
      <w:r w:rsidR="0013282B" w:rsidRPr="00DD4652">
        <w:rPr>
          <w:rFonts w:eastAsia="Times New Roman"/>
          <w:sz w:val="22"/>
        </w:rPr>
        <w:t xml:space="preserve"> </w:t>
      </w:r>
      <w:r w:rsidR="0029735A" w:rsidRPr="00DD4652">
        <w:rPr>
          <w:rFonts w:eastAsia="Times New Roman"/>
          <w:sz w:val="22"/>
        </w:rPr>
        <w:t xml:space="preserve">similarly emphasize that ROA captures bank profitability more accurately than alternative measures because it directly reflects how efficiently total assets are deployed to generate earnings, particularly in emerging-market contexts where capital-structure heterogeneity is high. </w:t>
      </w:r>
      <w:r w:rsidRPr="00DD4652">
        <w:rPr>
          <w:rFonts w:eastAsia="Times New Roman"/>
          <w:sz w:val="22"/>
        </w:rPr>
        <w:t>The regulatory reference follows SEOJK No. 14/SEOJK.03/2017 on the Soundness Assessment of Commercial Banks.</w:t>
      </w:r>
      <w:r w:rsidR="00790F48" w:rsidRPr="00DD4652">
        <w:rPr>
          <w:rFonts w:eastAsia="Times New Roman"/>
          <w:sz w:val="22"/>
        </w:rPr>
        <w:t xml:space="preserve"> </w:t>
      </w:r>
      <w:r w:rsidRPr="00DD4652">
        <w:rPr>
          <w:rFonts w:eastAsia="Times New Roman"/>
          <w:sz w:val="22"/>
        </w:rPr>
        <w:t>The ROA measurement formula is expressed as follows:</w:t>
      </w:r>
    </w:p>
    <w:p w14:paraId="6F984C4D" w14:textId="77777777" w:rsidR="0034022B" w:rsidRPr="00DD4652" w:rsidRDefault="0034022B" w:rsidP="0034022B">
      <w:pPr>
        <w:spacing w:line="240" w:lineRule="auto"/>
        <w:jc w:val="both"/>
        <w:rPr>
          <w:rFonts w:eastAsia="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34022B" w:rsidRPr="00DD4652" w14:paraId="669B3BFB" w14:textId="77777777" w:rsidTr="0034022B">
        <w:tc>
          <w:tcPr>
            <w:tcW w:w="8365" w:type="dxa"/>
          </w:tcPr>
          <w:p w14:paraId="6F59BD53" w14:textId="544EBFB0" w:rsidR="0034022B" w:rsidRPr="00DD4652" w:rsidRDefault="0034022B" w:rsidP="0034022B">
            <w:pPr>
              <w:spacing w:line="240" w:lineRule="auto"/>
              <w:jc w:val="both"/>
              <w:rPr>
                <w:rFonts w:eastAsia="Times New Roman"/>
                <w:sz w:val="22"/>
              </w:rPr>
            </w:pPr>
            <m:oMathPara>
              <m:oMath>
                <m:r>
                  <w:rPr>
                    <w:rFonts w:ascii="Cambria Math" w:eastAsia="Times New Roman" w:hAnsi="Cambria Math"/>
                    <w:sz w:val="22"/>
                  </w:rPr>
                  <m:t>ROA = (Profit Before Tax / Total Assets) × 100%</m:t>
                </m:r>
              </m:oMath>
            </m:oMathPara>
          </w:p>
        </w:tc>
        <w:tc>
          <w:tcPr>
            <w:tcW w:w="413" w:type="dxa"/>
          </w:tcPr>
          <w:p w14:paraId="60C0FC48" w14:textId="654F78CE" w:rsidR="0034022B" w:rsidRPr="00DD4652" w:rsidRDefault="0034022B" w:rsidP="0034022B">
            <w:pPr>
              <w:spacing w:line="240" w:lineRule="auto"/>
              <w:jc w:val="right"/>
              <w:rPr>
                <w:rFonts w:eastAsia="Times New Roman"/>
                <w:sz w:val="22"/>
              </w:rPr>
            </w:pPr>
            <w:r w:rsidRPr="00DD4652">
              <w:rPr>
                <w:rFonts w:eastAsia="Times New Roman"/>
                <w:sz w:val="22"/>
              </w:rPr>
              <w:t>(1)</w:t>
            </w:r>
          </w:p>
        </w:tc>
      </w:tr>
    </w:tbl>
    <w:p w14:paraId="0D4725D1" w14:textId="77777777" w:rsidR="00790F48" w:rsidRPr="00DD4652" w:rsidRDefault="00790F48" w:rsidP="00790F48">
      <w:pPr>
        <w:spacing w:line="240" w:lineRule="auto"/>
        <w:ind w:right="58"/>
        <w:jc w:val="both"/>
        <w:rPr>
          <w:sz w:val="22"/>
        </w:rPr>
      </w:pPr>
    </w:p>
    <w:p w14:paraId="52A5C8B0" w14:textId="0C0D34E8" w:rsidR="00790F48" w:rsidRPr="00DD4652" w:rsidRDefault="00790F48" w:rsidP="00790F48">
      <w:pPr>
        <w:spacing w:line="240" w:lineRule="auto"/>
        <w:ind w:right="58" w:firstLine="540"/>
        <w:jc w:val="both"/>
        <w:rPr>
          <w:sz w:val="22"/>
        </w:rPr>
      </w:pPr>
      <w:r w:rsidRPr="00DD4652">
        <w:rPr>
          <w:sz w:val="22"/>
        </w:rPr>
        <w:t>Formula 1 shows ROA represents the bank's profitability level, profit before tax refers to earnings generated before the deduction of income tax expenses, and total assets represent the overall resources controlled by the bank during the observation period. This measurement is commonly applied in banking studies because it reflects managerial effectiveness in utilizing assets to create profitability.</w:t>
      </w:r>
    </w:p>
    <w:p w14:paraId="782348F0" w14:textId="320F20C4" w:rsidR="001116B9" w:rsidRPr="00DD4652" w:rsidRDefault="001116B9" w:rsidP="00790F48">
      <w:pPr>
        <w:spacing w:line="240" w:lineRule="auto"/>
        <w:ind w:right="58"/>
        <w:jc w:val="both"/>
        <w:rPr>
          <w:sz w:val="22"/>
        </w:rPr>
      </w:pPr>
    </w:p>
    <w:p w14:paraId="0BCC65ED" w14:textId="5573B45E" w:rsidR="001116B9" w:rsidRPr="00DD4652" w:rsidRDefault="001116B9" w:rsidP="0034022B">
      <w:pPr>
        <w:pStyle w:val="ListParagraph"/>
        <w:numPr>
          <w:ilvl w:val="1"/>
          <w:numId w:val="1"/>
        </w:numPr>
        <w:spacing w:line="240" w:lineRule="auto"/>
        <w:ind w:left="540" w:right="58" w:hanging="540"/>
        <w:jc w:val="both"/>
        <w:rPr>
          <w:sz w:val="22"/>
        </w:rPr>
      </w:pPr>
      <w:r w:rsidRPr="00DD4652">
        <w:rPr>
          <w:b/>
          <w:bCs/>
          <w:sz w:val="22"/>
        </w:rPr>
        <w:t>Green Credit</w:t>
      </w:r>
    </w:p>
    <w:p w14:paraId="1E3E39E5" w14:textId="2778B65D" w:rsidR="002A62CD" w:rsidRPr="00DD4652" w:rsidRDefault="002A62CD" w:rsidP="0034022B">
      <w:pPr>
        <w:spacing w:line="240" w:lineRule="auto"/>
        <w:ind w:firstLine="540"/>
        <w:jc w:val="both"/>
        <w:rPr>
          <w:rFonts w:eastAsia="Times New Roman"/>
          <w:sz w:val="22"/>
        </w:rPr>
      </w:pPr>
      <w:r w:rsidRPr="00DD4652">
        <w:rPr>
          <w:rFonts w:eastAsia="Times New Roman"/>
          <w:sz w:val="22"/>
        </w:rPr>
        <w:t>Green credit is credit disbursed by banks to debtors for the financing of projects or business activities that have a positive impact on the environment and support sustainable development</w:t>
      </w:r>
      <w:r w:rsidR="00D9332F" w:rsidRPr="00DD4652">
        <w:rPr>
          <w:rFonts w:eastAsia="Times New Roman"/>
          <w:color w:val="000000"/>
          <w:sz w:val="22"/>
        </w:rPr>
        <w:t xml:space="preserve"> </w:t>
      </w:r>
      <w:r w:rsidR="00D9332F" w:rsidRPr="00DD4652">
        <w:rPr>
          <w:rFonts w:eastAsia="Times New Roman"/>
          <w:color w:val="000000"/>
          <w:sz w:val="22"/>
        </w:rPr>
        <w:fldChar w:fldCharType="begin"/>
      </w:r>
      <w:r w:rsidR="003A0861" w:rsidRPr="00DD4652">
        <w:rPr>
          <w:rFonts w:eastAsia="Times New Roman"/>
          <w:color w:val="000000"/>
          <w:sz w:val="22"/>
        </w:rPr>
        <w:instrText xml:space="preserve"> ADDIN EN.CITE &lt;EndNote&gt;&lt;Cite&gt;&lt;Author&gt;Mirza&lt;/Author&gt;&lt;Year&gt;2023&lt;/Year&gt;&lt;RecNum&gt;10233&lt;/RecNum&gt;&lt;DisplayText&gt;(Lian et al., 2022; Mirza et al.,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Cite&gt;&lt;Author&gt;Lian&lt;/Author&gt;&lt;Year&gt;2022&lt;/Year&gt;&lt;RecNum&gt;10235&lt;/RecNum&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D9332F" w:rsidRPr="00DD4652">
        <w:rPr>
          <w:rFonts w:eastAsia="Times New Roman"/>
          <w:color w:val="000000"/>
          <w:sz w:val="22"/>
        </w:rPr>
        <w:fldChar w:fldCharType="separate"/>
      </w:r>
      <w:r w:rsidR="003A0861" w:rsidRPr="00DD4652">
        <w:rPr>
          <w:rFonts w:eastAsia="Times New Roman"/>
          <w:color w:val="000000"/>
          <w:sz w:val="22"/>
        </w:rPr>
        <w:t>(</w:t>
      </w:r>
      <w:hyperlink w:anchor="_ENREF_24" w:tooltip="Lian, 2022 #10235" w:history="1">
        <w:r w:rsidR="003A0861" w:rsidRPr="00DD4652">
          <w:rPr>
            <w:rStyle w:val="Hyperlink"/>
            <w:rFonts w:eastAsia="Times New Roman"/>
            <w:sz w:val="22"/>
          </w:rPr>
          <w:t>Lian et al., 2022</w:t>
        </w:r>
      </w:hyperlink>
      <w:r w:rsidR="003A0861" w:rsidRPr="00DD4652">
        <w:rPr>
          <w:rFonts w:eastAsia="Times New Roman"/>
          <w:color w:val="000000"/>
          <w:sz w:val="22"/>
        </w:rPr>
        <w:t xml:space="preserve">; </w:t>
      </w:r>
      <w:hyperlink w:anchor="_ENREF_26" w:tooltip="Mirza, 2023 #10233" w:history="1">
        <w:r w:rsidR="003A0861" w:rsidRPr="00DD4652">
          <w:rPr>
            <w:rStyle w:val="Hyperlink"/>
            <w:rFonts w:eastAsia="Times New Roman"/>
            <w:sz w:val="22"/>
          </w:rPr>
          <w:t>Mirza et al., 2023</w:t>
        </w:r>
      </w:hyperlink>
      <w:r w:rsidR="003A0861" w:rsidRPr="00DD4652">
        <w:rPr>
          <w:rFonts w:eastAsia="Times New Roman"/>
          <w:color w:val="000000"/>
          <w:sz w:val="22"/>
        </w:rPr>
        <w:t>)</w:t>
      </w:r>
      <w:r w:rsidR="00D9332F" w:rsidRPr="00DD4652">
        <w:rPr>
          <w:rFonts w:eastAsia="Times New Roman"/>
          <w:color w:val="000000"/>
          <w:sz w:val="22"/>
        </w:rPr>
        <w:fldChar w:fldCharType="end"/>
      </w:r>
      <w:r w:rsidR="0029735A" w:rsidRPr="00DD4652">
        <w:rPr>
          <w:rFonts w:eastAsia="Times New Roman"/>
          <w:sz w:val="22"/>
        </w:rPr>
        <w:t xml:space="preserve">. </w:t>
      </w:r>
      <w:hyperlink w:anchor="_ENREF_29" w:tooltip="Nguyen, 2021 #10232" w:history="1">
        <w:r w:rsidR="00CF760D" w:rsidRPr="00DD4652">
          <w:rPr>
            <w:rStyle w:val="Hyperlink"/>
            <w:rFonts w:eastAsia="Times New Roman"/>
            <w:sz w:val="22"/>
          </w:rPr>
          <w:fldChar w:fldCharType="begin"/>
        </w:r>
        <w:r w:rsidR="00AF0B1D" w:rsidRPr="00DD4652">
          <w:rPr>
            <w:rStyle w:val="Hyperlink"/>
            <w:rFonts w:eastAsia="Times New Roman"/>
            <w:sz w:val="22"/>
          </w:rPr>
          <w:instrText xml:space="preserve"> ADDIN EN.CITE &lt;EndNote&gt;&lt;Cite AuthorYear="1"&gt;&lt;Author&gt;Nguyen&lt;/Author&gt;&lt;Year&gt;2021&lt;/Year&gt;&lt;RecNum&gt;10232&lt;/RecNum&gt;&lt;DisplayText&gt;T. H. Nguyen, Elmagrhi, Ntim, and Wu (2021)&lt;/DisplayText&gt;&lt;record&gt;&lt;rec-number&gt;10232&lt;/rec-number&gt;&lt;foreign-keys&gt;&lt;key app="EN" db-id="x5ezdazsa9zseqe5esy5zw9wxe95pawf2e0d" timestamp="1784693094"&gt;10232&lt;/key&gt;&lt;/foreign-keys&gt;&lt;ref-type name="Journal Article"&gt;17&lt;/ref-type&gt;&lt;contributors&gt;&lt;authors&gt;&lt;author&gt;Nguyen, Thi HH&lt;/author&gt;&lt;author&gt;Elmagrhi, Mohamed H&lt;/author&gt;&lt;author&gt;Ntim, Collins G&lt;/author&gt;&lt;author&gt;Wu, Yue&lt;/author&gt;&lt;/authors&gt;&lt;/contributors&gt;&lt;titles&gt;&lt;title&gt;Environmental performance, sustainability, governance and financial performance: Evidence from heavily polluting industries in China&lt;/title&gt;&lt;secondary-title&gt;Business Strategy and the Environment&lt;/secondary-title&gt;&lt;/titles&gt;&lt;periodical&gt;&lt;full-title&gt;Business strategy and the environment&lt;/full-title&gt;&lt;/periodical&gt;&lt;pages&gt;2313-2331&lt;/pages&gt;&lt;volume&gt;30&lt;/volume&gt;&lt;number&gt;5&lt;/number&gt;&lt;dates&gt;&lt;year&gt;2021&lt;/year&gt;&lt;/dates&gt;&lt;isbn&gt;0964-4733&lt;/isbn&gt;&lt;urls&gt;&lt;/urls&gt;&lt;electronic-resource-num&gt;https://doi.org/10.1002/bse.2748&lt;/electronic-resource-num&gt;&lt;/record&gt;&lt;/Cite&gt;&lt;/EndNote&gt;</w:instrText>
        </w:r>
        <w:r w:rsidR="00CF760D" w:rsidRPr="00DD4652">
          <w:rPr>
            <w:rStyle w:val="Hyperlink"/>
            <w:rFonts w:eastAsia="Times New Roman"/>
            <w:sz w:val="22"/>
          </w:rPr>
          <w:fldChar w:fldCharType="separate"/>
        </w:r>
        <w:r w:rsidR="00AF0B1D" w:rsidRPr="00DD4652">
          <w:rPr>
            <w:rStyle w:val="Hyperlink"/>
            <w:rFonts w:eastAsia="Times New Roman"/>
            <w:sz w:val="22"/>
          </w:rPr>
          <w:t>T. H. Nguyen, Elmagrhi, Ntim, and Wu (2021)</w:t>
        </w:r>
        <w:r w:rsidR="00CF760D" w:rsidRPr="00DD4652">
          <w:rPr>
            <w:rStyle w:val="Hyperlink"/>
            <w:rFonts w:eastAsia="Times New Roman"/>
            <w:sz w:val="22"/>
          </w:rPr>
          <w:fldChar w:fldCharType="end"/>
        </w:r>
      </w:hyperlink>
      <w:r w:rsidR="00CF760D" w:rsidRPr="00DD4652">
        <w:rPr>
          <w:rFonts w:eastAsia="Times New Roman"/>
          <w:sz w:val="22"/>
        </w:rPr>
        <w:t xml:space="preserve"> </w:t>
      </w:r>
      <w:r w:rsidR="0029735A" w:rsidRPr="00DD4652">
        <w:rPr>
          <w:rFonts w:eastAsia="Times New Roman"/>
          <w:sz w:val="22"/>
        </w:rPr>
        <w:t xml:space="preserve">document that environmental performance and sustainability disclosure are positively associated with financial performance, particularly in industries with significant ecological footprints, suggesting that green-financing initiatives translate into measurable economic returns. </w:t>
      </w:r>
      <w:hyperlink w:anchor="_ENREF_30" w:tooltip="Ozili, 2022 #10231" w:history="1">
        <w:r w:rsidR="00B173EA" w:rsidRPr="00DD4652">
          <w:rPr>
            <w:rStyle w:val="Hyperlink"/>
            <w:rFonts w:eastAsia="Times New Roman"/>
            <w:sz w:val="22"/>
          </w:rPr>
          <w:fldChar w:fldCharType="begin"/>
        </w:r>
        <w:r w:rsidR="00B173EA" w:rsidRPr="00DD4652">
          <w:rPr>
            <w:rStyle w:val="Hyperlink"/>
            <w:rFonts w:eastAsia="Times New Roman"/>
            <w:sz w:val="22"/>
          </w:rPr>
          <w:instrText xml:space="preserve"> ADDIN EN.CITE &lt;EndNote&gt;&lt;Cite AuthorYear="1"&gt;&lt;Author&gt;Ozili&lt;/Author&gt;&lt;Year&gt;2022&lt;/Year&gt;&lt;RecNum&gt;10231&lt;/RecNum&gt;&lt;DisplayText&gt;Ozili (2022)&lt;/DisplayText&gt;&lt;record&gt;&lt;rec-number&gt;10231&lt;/rec-number&gt;&lt;foreign-keys&gt;&lt;key app="EN" db-id="x5ezdazsa9zseqe5esy5zw9wxe95pawf2e0d" timestamp="1784693037"&gt;10231&lt;/key&gt;&lt;/foreign-keys&gt;&lt;ref-type name="Journal Article"&gt;17&lt;/ref-type&gt;&lt;contributors&gt;&lt;authors&gt;&lt;author&gt;Ozili, Peterson K&lt;/author&gt;&lt;/authors&gt;&lt;/contributors&gt;&lt;titles&gt;&lt;title&gt;Sustainability and sustainable development research around the world&lt;/title&gt;&lt;secondary-title&gt;Managing Global Transitions&lt;/secondary-title&gt;&lt;/titles&gt;&lt;periodical&gt;&lt;full-title&gt;Managing Global Transitions&lt;/full-title&gt;&lt;/periodical&gt;&lt;pages&gt;259–283&lt;/pages&gt;&lt;volume&gt;20&lt;/volume&gt;&lt;number&gt;3&lt;/number&gt;&lt;dates&gt;&lt;year&gt;2022&lt;/year&gt;&lt;/dates&gt;&lt;isbn&gt;1854-6935&lt;/isbn&gt;&lt;urls&gt;&lt;/urls&gt;&lt;electronic-resource-num&gt;https://doi.org/10.26493/1854-6935.20.259-293&lt;/electronic-resource-num&gt;&lt;/record&gt;&lt;/Cite&gt;&lt;/EndNote&gt;</w:instrText>
        </w:r>
        <w:r w:rsidR="00B173EA" w:rsidRPr="00DD4652">
          <w:rPr>
            <w:rStyle w:val="Hyperlink"/>
            <w:rFonts w:eastAsia="Times New Roman"/>
            <w:sz w:val="22"/>
          </w:rPr>
          <w:fldChar w:fldCharType="separate"/>
        </w:r>
        <w:r w:rsidR="00B173EA" w:rsidRPr="00DD4652">
          <w:rPr>
            <w:rStyle w:val="Hyperlink"/>
            <w:rFonts w:eastAsia="Times New Roman"/>
            <w:sz w:val="22"/>
          </w:rPr>
          <w:t>Ozili (2022)</w:t>
        </w:r>
        <w:r w:rsidR="00B173EA" w:rsidRPr="00DD4652">
          <w:rPr>
            <w:rStyle w:val="Hyperlink"/>
            <w:rFonts w:eastAsia="Times New Roman"/>
            <w:sz w:val="22"/>
          </w:rPr>
          <w:fldChar w:fldCharType="end"/>
        </w:r>
      </w:hyperlink>
      <w:r w:rsidR="00B173EA" w:rsidRPr="00DD4652">
        <w:rPr>
          <w:rFonts w:eastAsia="Times New Roman"/>
          <w:sz w:val="22"/>
        </w:rPr>
        <w:t xml:space="preserve"> </w:t>
      </w:r>
      <w:r w:rsidR="0029735A" w:rsidRPr="00DD4652">
        <w:rPr>
          <w:rFonts w:eastAsia="Times New Roman"/>
          <w:sz w:val="22"/>
        </w:rPr>
        <w:t>further argues that sustainability has become a defining theme of contemporary financial research, especially in emerging economies where regulatory pressure and stakeholder expectations are converging.</w:t>
      </w:r>
      <w:r w:rsidR="005A0F9F" w:rsidRPr="00DD4652">
        <w:rPr>
          <w:rFonts w:eastAsia="Times New Roman"/>
          <w:sz w:val="22"/>
        </w:rPr>
        <w:t xml:space="preserve"> </w:t>
      </w:r>
      <w:hyperlink w:anchor="_ENREF_11" w:tooltip="Cui, 2018 #10237" w:history="1">
        <w:r w:rsidR="00C077D1" w:rsidRPr="00DD4652">
          <w:rPr>
            <w:rStyle w:val="Hyperlink"/>
            <w:rFonts w:eastAsia="Times New Roman"/>
            <w:sz w:val="22"/>
          </w:rPr>
          <w:fldChar w:fldCharType="begin"/>
        </w:r>
        <w:r w:rsidR="00C077D1" w:rsidRPr="00DD4652">
          <w:rPr>
            <w:rStyle w:val="Hyperlink"/>
            <w:rFonts w:eastAsia="Times New Roman"/>
            <w:sz w:val="22"/>
          </w:rPr>
          <w:instrText xml:space="preserve"> ADDIN EN.CITE &lt;EndNote&gt;&lt;Cite AuthorYear="1"&gt;&lt;Author&gt;Cui&lt;/Author&gt;&lt;Year&gt;2018&lt;/Year&gt;&lt;RecNum&gt;10237&lt;/RecNum&gt;&lt;DisplayText&gt;Cui, Geobey, Weber, and Lin (2018)&lt;/DisplayText&gt;&lt;record&gt;&lt;rec-number&gt;10237&lt;/rec-number&gt;&lt;foreign-keys&gt;&lt;key app="EN" db-id="x5ezdazsa9zseqe5esy5zw9wxe95pawf2e0d" timestamp="1784693772"&gt;10237&lt;/key&gt;&lt;/foreign-keys&gt;&lt;ref-type name="Journal Article"&gt;17&lt;/ref-type&gt;&lt;contributors&gt;&lt;authors&gt;&lt;author&gt;Cui, Yujun&lt;/author&gt;&lt;author&gt;Geobey, Sean&lt;/author&gt;&lt;author&gt;Weber, Olaf&lt;/author&gt;&lt;author&gt;Lin, Haiying&lt;/author&gt;&lt;/authors&gt;&lt;/contributors&gt;&lt;titles&gt;&lt;title&gt;The impact of green lending on credit risk in China&lt;/title&gt;&lt;secondary-title&gt;Sustainability&lt;/secondary-title&gt;&lt;/titles&gt;&lt;periodical&gt;&lt;full-title&gt;Sustainability&lt;/full-title&gt;&lt;/periodical&gt;&lt;pages&gt;2008&lt;/pages&gt;&lt;volume&gt;10&lt;/volume&gt;&lt;number&gt;6&lt;/number&gt;&lt;dates&gt;&lt;year&gt;2018&lt;/year&gt;&lt;/dates&gt;&lt;isbn&gt;2071-1050&lt;/isbn&gt;&lt;urls&gt;&lt;/urls&gt;&lt;electronic-resource-num&gt;https://doi.org/10.3390/su10062008&lt;/electronic-resource-num&gt;&lt;/record&gt;&lt;/Cite&gt;&lt;/EndNote&gt;</w:instrText>
        </w:r>
        <w:r w:rsidR="00C077D1" w:rsidRPr="00DD4652">
          <w:rPr>
            <w:rStyle w:val="Hyperlink"/>
            <w:rFonts w:eastAsia="Times New Roman"/>
            <w:sz w:val="22"/>
          </w:rPr>
          <w:fldChar w:fldCharType="separate"/>
        </w:r>
        <w:r w:rsidR="00C077D1" w:rsidRPr="00DD4652">
          <w:rPr>
            <w:rStyle w:val="Hyperlink"/>
            <w:rFonts w:eastAsia="Times New Roman"/>
            <w:sz w:val="22"/>
          </w:rPr>
          <w:t>Cui, Geobey, Weber, and Lin (2018)</w:t>
        </w:r>
        <w:r w:rsidR="00C077D1" w:rsidRPr="00DD4652">
          <w:rPr>
            <w:rStyle w:val="Hyperlink"/>
            <w:rFonts w:eastAsia="Times New Roman"/>
            <w:sz w:val="22"/>
          </w:rPr>
          <w:fldChar w:fldCharType="end"/>
        </w:r>
      </w:hyperlink>
      <w:r w:rsidR="00C077D1" w:rsidRPr="00DD4652">
        <w:rPr>
          <w:rFonts w:eastAsia="Times New Roman"/>
          <w:sz w:val="22"/>
        </w:rPr>
        <w:t xml:space="preserve"> </w:t>
      </w:r>
      <w:r w:rsidR="005A0F9F" w:rsidRPr="00DD4652">
        <w:rPr>
          <w:rFonts w:eastAsia="Times New Roman"/>
          <w:sz w:val="22"/>
        </w:rPr>
        <w:t xml:space="preserve">and </w:t>
      </w:r>
      <w:hyperlink w:anchor="_ENREF_44" w:tooltip="Zhang, 2021 #10225" w:history="1">
        <w:r w:rsidR="006714B8" w:rsidRPr="00DD4652">
          <w:rPr>
            <w:rStyle w:val="Hyperlink"/>
            <w:rFonts w:eastAsia="Times New Roman"/>
            <w:sz w:val="22"/>
          </w:rPr>
          <w:fldChar w:fldCharType="begin"/>
        </w:r>
        <w:r w:rsidR="006714B8" w:rsidRPr="00DD4652">
          <w:rPr>
            <w:rStyle w:val="Hyperlink"/>
            <w:rFonts w:eastAsia="Times New Roman"/>
            <w:sz w:val="22"/>
          </w:rPr>
          <w:instrText xml:space="preserve"> ADDIN EN.CITE &lt;EndNote&gt;&lt;Cite AuthorYear="1"&gt;&lt;Author&gt;Zhang&lt;/Author&gt;&lt;Year&gt;2021&lt;/Year&gt;&lt;RecNum&gt;10225&lt;/RecNum&gt;&lt;DisplayText&gt;Zhang and Vigne (2021)&lt;/DisplayText&gt;&lt;record&gt;&lt;rec-number&gt;10225&lt;/rec-number&gt;&lt;foreign-keys&gt;&lt;key app="EN" db-id="x5ezdazsa9zseqe5esy5zw9wxe95pawf2e0d" timestamp="1784692412"&gt;10225&lt;/key&gt;&lt;/foreign-keys&gt;&lt;ref-type name="Journal Article"&gt;17&lt;/ref-type&gt;&lt;contributors&gt;&lt;authors&gt;&lt;author&gt;Zhang, Dongyang&lt;/author&gt;&lt;author&gt;Vigne, Samuel A&lt;/author&gt;&lt;/authors&gt;&lt;/contributors&gt;&lt;titles&gt;&lt;title&gt;The causal effect on firm performance of China&amp;apos;s financing–pollution emission reduction policy: Firm-level evidence&lt;/title&gt;&lt;secondary-title&gt;Journal of Environmental Management&lt;/secondary-title&gt;&lt;/titles&gt;&lt;periodical&gt;&lt;full-title&gt;Journal of Environmental Management&lt;/full-title&gt;&lt;/periodical&gt;&lt;pages&gt;111609&lt;/pages&gt;&lt;volume&gt;279&lt;/volume&gt;&lt;dates&gt;&lt;year&gt;2021&lt;/year&gt;&lt;/dates&gt;&lt;isbn&gt;0301-4797&lt;/isbn&gt;&lt;urls&gt;&lt;/urls&gt;&lt;electronic-resource-num&gt;https://doi.org/10.1016/j.jenvman.2020.111609&lt;/electronic-resource-num&gt;&lt;/record&gt;&lt;/Cite&gt;&lt;/EndNote&gt;</w:instrText>
        </w:r>
        <w:r w:rsidR="006714B8" w:rsidRPr="00DD4652">
          <w:rPr>
            <w:rStyle w:val="Hyperlink"/>
            <w:rFonts w:eastAsia="Times New Roman"/>
            <w:sz w:val="22"/>
          </w:rPr>
          <w:fldChar w:fldCharType="separate"/>
        </w:r>
        <w:r w:rsidR="006714B8" w:rsidRPr="00DD4652">
          <w:rPr>
            <w:rStyle w:val="Hyperlink"/>
            <w:rFonts w:eastAsia="Times New Roman"/>
            <w:sz w:val="22"/>
          </w:rPr>
          <w:t>Zhang and Vigne (2021)</w:t>
        </w:r>
        <w:r w:rsidR="006714B8" w:rsidRPr="00DD4652">
          <w:rPr>
            <w:rStyle w:val="Hyperlink"/>
            <w:rFonts w:eastAsia="Times New Roman"/>
            <w:sz w:val="22"/>
          </w:rPr>
          <w:fldChar w:fldCharType="end"/>
        </w:r>
      </w:hyperlink>
      <w:r w:rsidR="005A0F9F" w:rsidRPr="00DD4652">
        <w:rPr>
          <w:rFonts w:eastAsia="Times New Roman"/>
          <w:sz w:val="22"/>
        </w:rPr>
        <w:t xml:space="preserve"> provide early evidence from China that green-credit policy reshapes bank lending patterns and reduces exposure to high-pollution sectors, while </w:t>
      </w:r>
      <w:hyperlink w:anchor="_ENREF_18" w:tooltip="Haibo, 2022 #10238" w:history="1">
        <w:r w:rsidR="00B92EA6" w:rsidRPr="00DD4652">
          <w:rPr>
            <w:rStyle w:val="Hyperlink"/>
            <w:rFonts w:eastAsia="Times New Roman"/>
            <w:sz w:val="22"/>
          </w:rPr>
          <w:fldChar w:fldCharType="begin"/>
        </w:r>
        <w:r w:rsidR="00B92EA6" w:rsidRPr="00DD4652">
          <w:rPr>
            <w:rStyle w:val="Hyperlink"/>
            <w:rFonts w:eastAsia="Times New Roman"/>
            <w:sz w:val="22"/>
          </w:rPr>
          <w:instrText xml:space="preserve"> ADDIN EN.CITE &lt;EndNote&gt;&lt;Cite AuthorYear="1"&gt;&lt;Author&gt;Haibo&lt;/Author&gt;&lt;Year&gt;2022&lt;/Year&gt;&lt;RecNum&gt;10238&lt;/RecNum&gt;&lt;DisplayText&gt;Haibo and Manu (2022)&lt;/DisplayText&gt;&lt;record&gt;&lt;rec-number&gt;10238&lt;/rec-number&gt;&lt;foreign-keys&gt;&lt;key app="EN" db-id="x5ezdazsa9zseqe5esy5zw9wxe95pawf2e0d" timestamp="1784693944"&gt;10238&lt;/key&gt;&lt;/foreign-keys&gt;&lt;ref-type name="Journal Article"&gt;17&lt;/ref-type&gt;&lt;contributors&gt;&lt;authors&gt;&lt;author&gt;Haibo, Chen&lt;/author&gt;&lt;author&gt;Manu, Emmanuel Kwaku&lt;/author&gt;&lt;/authors&gt;&lt;/contributors&gt;&lt;titles&gt;&lt;title&gt;The impact of banks’ financial performance on environmental performance in Africa&lt;/title&gt;&lt;secondary-title&gt;Environmental Science and Pollution Research&lt;/secondary-title&gt;&lt;/titles&gt;&lt;periodical&gt;&lt;full-title&gt;Environmental Science and Pollution Research&lt;/full-title&gt;&lt;/periodical&gt;&lt;pages&gt;49214-49233&lt;/pages&gt;&lt;volume&gt;29&lt;/volume&gt;&lt;number&gt;32&lt;/number&gt;&lt;dates&gt;&lt;year&gt;2022&lt;/year&gt;&lt;/dates&gt;&lt;isbn&gt;0944-1344&lt;/isbn&gt;&lt;urls&gt;&lt;/urls&gt;&lt;electronic-resource-num&gt;https://doi.org/10.1007/s11356-022-19401-w&lt;/electronic-resource-num&gt;&lt;/record&gt;&lt;/Cite&gt;&lt;/EndNote&gt;</w:instrText>
        </w:r>
        <w:r w:rsidR="00B92EA6" w:rsidRPr="00DD4652">
          <w:rPr>
            <w:rStyle w:val="Hyperlink"/>
            <w:rFonts w:eastAsia="Times New Roman"/>
            <w:sz w:val="22"/>
          </w:rPr>
          <w:fldChar w:fldCharType="separate"/>
        </w:r>
        <w:r w:rsidR="00B92EA6" w:rsidRPr="00DD4652">
          <w:rPr>
            <w:rStyle w:val="Hyperlink"/>
            <w:rFonts w:eastAsia="Times New Roman"/>
            <w:sz w:val="22"/>
          </w:rPr>
          <w:t>Haibo and Manu (2022)</w:t>
        </w:r>
        <w:r w:rsidR="00B92EA6" w:rsidRPr="00DD4652">
          <w:rPr>
            <w:rStyle w:val="Hyperlink"/>
            <w:rFonts w:eastAsia="Times New Roman"/>
            <w:sz w:val="22"/>
          </w:rPr>
          <w:fldChar w:fldCharType="end"/>
        </w:r>
      </w:hyperlink>
      <w:r w:rsidR="005A0F9F" w:rsidRPr="00DD4652">
        <w:rPr>
          <w:rFonts w:eastAsia="Times New Roman"/>
          <w:sz w:val="22"/>
        </w:rPr>
        <w:t xml:space="preserve"> extend this evidence to African banking systems, demonstrating that green-credit adoption is associated with improved financial outcomes once supportive regulation is in place. </w:t>
      </w:r>
      <w:r w:rsidRPr="00DD4652">
        <w:rPr>
          <w:rFonts w:eastAsia="Times New Roman"/>
          <w:sz w:val="22"/>
        </w:rPr>
        <w:t>In the Indonesian banking context, the recording of sustainable credit portfolios refers to the 12 Categories of Sustainable Business Activities (</w:t>
      </w:r>
      <w:proofErr w:type="spellStart"/>
      <w:r w:rsidR="00DD4652" w:rsidRPr="00DD4652">
        <w:rPr>
          <w:rFonts w:eastAsia="Times New Roman"/>
          <w:i/>
          <w:iCs/>
          <w:sz w:val="22"/>
        </w:rPr>
        <w:t>Kategori</w:t>
      </w:r>
      <w:proofErr w:type="spellEnd"/>
      <w:r w:rsidR="00DD4652" w:rsidRPr="00DD4652">
        <w:rPr>
          <w:rFonts w:eastAsia="Times New Roman"/>
          <w:i/>
          <w:iCs/>
          <w:sz w:val="22"/>
        </w:rPr>
        <w:t xml:space="preserve"> </w:t>
      </w:r>
      <w:proofErr w:type="spellStart"/>
      <w:r w:rsidR="00DD4652" w:rsidRPr="00DD4652">
        <w:rPr>
          <w:rFonts w:eastAsia="Times New Roman"/>
          <w:i/>
          <w:iCs/>
          <w:sz w:val="22"/>
        </w:rPr>
        <w:t>Kegiatan</w:t>
      </w:r>
      <w:proofErr w:type="spellEnd"/>
      <w:r w:rsidR="00DD4652" w:rsidRPr="00DD4652">
        <w:rPr>
          <w:rFonts w:eastAsia="Times New Roman"/>
          <w:i/>
          <w:iCs/>
          <w:sz w:val="22"/>
        </w:rPr>
        <w:t xml:space="preserve"> Usaha </w:t>
      </w:r>
      <w:proofErr w:type="spellStart"/>
      <w:r w:rsidR="00DD4652" w:rsidRPr="00DD4652">
        <w:rPr>
          <w:rFonts w:eastAsia="Times New Roman"/>
          <w:i/>
          <w:iCs/>
          <w:sz w:val="22"/>
        </w:rPr>
        <w:t>Berkelanjutan</w:t>
      </w:r>
      <w:proofErr w:type="spellEnd"/>
      <w:r w:rsidR="00DD4652">
        <w:rPr>
          <w:rFonts w:eastAsia="Times New Roman"/>
          <w:sz w:val="22"/>
        </w:rPr>
        <w:t xml:space="preserve"> or </w:t>
      </w:r>
      <w:r w:rsidRPr="00DD4652">
        <w:rPr>
          <w:rFonts w:eastAsia="Times New Roman"/>
          <w:sz w:val="22"/>
        </w:rPr>
        <w:t xml:space="preserve">KKUB) as stipulated in the technical guidelines of POJK No. 51/POJK.03/2017, consisting of 11 </w:t>
      </w:r>
      <w:r w:rsidRPr="00DD4652">
        <w:rPr>
          <w:rFonts w:eastAsia="Times New Roman"/>
          <w:sz w:val="22"/>
        </w:rPr>
        <w:lastRenderedPageBreak/>
        <w:t>categories of Environmentally Sound Business Activities (</w:t>
      </w:r>
      <w:proofErr w:type="spellStart"/>
      <w:r w:rsidR="00B3266D" w:rsidRPr="00B3266D">
        <w:rPr>
          <w:rFonts w:eastAsia="Times New Roman"/>
          <w:i/>
          <w:iCs/>
          <w:sz w:val="22"/>
        </w:rPr>
        <w:t>Kegiatan</w:t>
      </w:r>
      <w:proofErr w:type="spellEnd"/>
      <w:r w:rsidR="00B3266D" w:rsidRPr="00B3266D">
        <w:rPr>
          <w:rFonts w:eastAsia="Times New Roman"/>
          <w:i/>
          <w:iCs/>
          <w:sz w:val="22"/>
        </w:rPr>
        <w:t xml:space="preserve"> Usaha </w:t>
      </w:r>
      <w:proofErr w:type="spellStart"/>
      <w:r w:rsidR="00B3266D" w:rsidRPr="00B3266D">
        <w:rPr>
          <w:rFonts w:eastAsia="Times New Roman"/>
          <w:i/>
          <w:iCs/>
          <w:sz w:val="22"/>
        </w:rPr>
        <w:t>Berwawasan</w:t>
      </w:r>
      <w:proofErr w:type="spellEnd"/>
      <w:r w:rsidR="00B3266D" w:rsidRPr="00B3266D">
        <w:rPr>
          <w:rFonts w:eastAsia="Times New Roman"/>
          <w:i/>
          <w:iCs/>
          <w:sz w:val="22"/>
        </w:rPr>
        <w:t xml:space="preserve"> Lingkungan</w:t>
      </w:r>
      <w:r w:rsidR="00B3266D" w:rsidRPr="00B3266D">
        <w:rPr>
          <w:rFonts w:eastAsia="Times New Roman"/>
          <w:sz w:val="22"/>
        </w:rPr>
        <w:t xml:space="preserve"> </w:t>
      </w:r>
      <w:r w:rsidR="00B3266D">
        <w:rPr>
          <w:rFonts w:eastAsia="Times New Roman"/>
          <w:sz w:val="22"/>
        </w:rPr>
        <w:t xml:space="preserve">or </w:t>
      </w:r>
      <w:r w:rsidRPr="00DD4652">
        <w:rPr>
          <w:rFonts w:eastAsia="Times New Roman"/>
          <w:sz w:val="22"/>
        </w:rPr>
        <w:t>KUBL) and 1 category of Micro, Small, and Medium Enterprise (MSME) financing as a manifestation of the principle of sustainable financial inclusion. This classification is reinforced by the Indonesian Sustainable Finance Taxonomy (</w:t>
      </w:r>
      <w:proofErr w:type="spellStart"/>
      <w:r w:rsidR="00B3266D" w:rsidRPr="00B3266D">
        <w:rPr>
          <w:rFonts w:eastAsia="Times New Roman"/>
          <w:i/>
          <w:iCs/>
          <w:sz w:val="22"/>
        </w:rPr>
        <w:t>Taksonomi</w:t>
      </w:r>
      <w:proofErr w:type="spellEnd"/>
      <w:r w:rsidR="00B3266D" w:rsidRPr="00B3266D">
        <w:rPr>
          <w:rFonts w:eastAsia="Times New Roman"/>
          <w:i/>
          <w:iCs/>
          <w:sz w:val="22"/>
        </w:rPr>
        <w:t xml:space="preserve"> </w:t>
      </w:r>
      <w:proofErr w:type="spellStart"/>
      <w:r w:rsidR="00B3266D" w:rsidRPr="00B3266D">
        <w:rPr>
          <w:rFonts w:eastAsia="Times New Roman"/>
          <w:i/>
          <w:iCs/>
          <w:sz w:val="22"/>
        </w:rPr>
        <w:t>Keuangan</w:t>
      </w:r>
      <w:proofErr w:type="spellEnd"/>
      <w:r w:rsidR="00B3266D" w:rsidRPr="00B3266D">
        <w:rPr>
          <w:rFonts w:eastAsia="Times New Roman"/>
          <w:i/>
          <w:iCs/>
          <w:sz w:val="22"/>
        </w:rPr>
        <w:t xml:space="preserve"> </w:t>
      </w:r>
      <w:proofErr w:type="spellStart"/>
      <w:r w:rsidR="00B3266D" w:rsidRPr="00B3266D">
        <w:rPr>
          <w:rFonts w:eastAsia="Times New Roman"/>
          <w:i/>
          <w:iCs/>
          <w:sz w:val="22"/>
        </w:rPr>
        <w:t>Berkelanjutan</w:t>
      </w:r>
      <w:proofErr w:type="spellEnd"/>
      <w:r w:rsidR="00B3266D" w:rsidRPr="00B3266D">
        <w:rPr>
          <w:rFonts w:eastAsia="Times New Roman"/>
          <w:i/>
          <w:iCs/>
          <w:sz w:val="22"/>
        </w:rPr>
        <w:t xml:space="preserve"> </w:t>
      </w:r>
      <w:proofErr w:type="gramStart"/>
      <w:r w:rsidR="00B3266D" w:rsidRPr="00B3266D">
        <w:rPr>
          <w:rFonts w:eastAsia="Times New Roman"/>
          <w:i/>
          <w:iCs/>
          <w:sz w:val="22"/>
        </w:rPr>
        <w:t>Indonesia</w:t>
      </w:r>
      <w:r w:rsidR="00B3266D" w:rsidRPr="00B3266D">
        <w:rPr>
          <w:rFonts w:eastAsia="Times New Roman"/>
          <w:sz w:val="22"/>
        </w:rPr>
        <w:t xml:space="preserve"> </w:t>
      </w:r>
      <w:r w:rsidR="00B3266D">
        <w:rPr>
          <w:rFonts w:eastAsia="Times New Roman"/>
          <w:sz w:val="22"/>
        </w:rPr>
        <w:t xml:space="preserve"> or</w:t>
      </w:r>
      <w:proofErr w:type="gramEnd"/>
      <w:r w:rsidR="00B3266D">
        <w:rPr>
          <w:rFonts w:eastAsia="Times New Roman"/>
          <w:sz w:val="22"/>
        </w:rPr>
        <w:t xml:space="preserve"> </w:t>
      </w:r>
      <w:r w:rsidRPr="00DD4652">
        <w:rPr>
          <w:rFonts w:eastAsia="Times New Roman"/>
          <w:sz w:val="22"/>
        </w:rPr>
        <w:t>TKBI) issued by OJK in February 2024. This study uses the Green Credit Ratio (GCR) as the proxy, which measures the ratio of total sustainable credit to total disbursed credit, consistent with the approach of</w:t>
      </w:r>
      <w:r w:rsidR="000343D7" w:rsidRPr="00DD4652">
        <w:rPr>
          <w:rFonts w:eastAsia="Times New Roman"/>
          <w:color w:val="000000"/>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w:t>
      </w:r>
      <w:hyperlink w:anchor="_ENREF_34" w:tooltip="Riyanti, 2025 #10228" w:history="1">
        <w:r w:rsidR="000D41A4" w:rsidRPr="00DD4652">
          <w:rPr>
            <w:rStyle w:val="Hyperlink"/>
            <w:rFonts w:eastAsia="Times New Roman"/>
            <w:sz w:val="22"/>
          </w:rPr>
          <w:fldChar w:fldCharType="begin"/>
        </w:r>
        <w:r w:rsidR="000D41A4" w:rsidRPr="00DD4652">
          <w:rPr>
            <w:rStyle w:val="Hyperlink"/>
            <w:rFonts w:eastAsia="Times New Roman"/>
            <w:sz w:val="22"/>
          </w:rPr>
          <w:instrText xml:space="preserve"> ADDIN EN.CITE &lt;EndNote&gt;&lt;Cite AuthorYear="1"&gt;&lt;Author&gt;Riyanti&lt;/Author&gt;&lt;Year&gt;2025&lt;/Year&gt;&lt;RecNum&gt;10228&lt;/RecNum&gt;&lt;DisplayText&gt;Riyanti et al. (2025)&lt;/DisplayText&gt;&lt;record&gt;&lt;rec-number&gt;10228&lt;/rec-number&gt;&lt;foreign-keys&gt;&lt;key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EndNote&gt;</w:instrText>
        </w:r>
        <w:r w:rsidR="000D41A4" w:rsidRPr="00DD4652">
          <w:rPr>
            <w:rStyle w:val="Hyperlink"/>
            <w:rFonts w:eastAsia="Times New Roman"/>
            <w:sz w:val="22"/>
          </w:rPr>
          <w:fldChar w:fldCharType="separate"/>
        </w:r>
        <w:r w:rsidR="000D41A4" w:rsidRPr="00DD4652">
          <w:rPr>
            <w:rStyle w:val="Hyperlink"/>
            <w:rFonts w:eastAsia="Times New Roman"/>
            <w:sz w:val="22"/>
          </w:rPr>
          <w:t>Riyanti et al. (2025)</w:t>
        </w:r>
        <w:r w:rsidR="000D41A4" w:rsidRPr="00DD4652">
          <w:rPr>
            <w:rStyle w:val="Hyperlink"/>
            <w:rFonts w:eastAsia="Times New Roman"/>
            <w:sz w:val="22"/>
          </w:rPr>
          <w:fldChar w:fldCharType="end"/>
        </w:r>
      </w:hyperlink>
      <w:r w:rsidRPr="00DD4652">
        <w:rPr>
          <w:rFonts w:eastAsia="Times New Roman"/>
          <w:sz w:val="22"/>
        </w:rPr>
        <w:t>, and</w:t>
      </w:r>
      <w:r w:rsidR="00E575EB" w:rsidRPr="00DD4652">
        <w:rPr>
          <w:rFonts w:eastAsia="Times New Roman"/>
          <w:color w:val="000000"/>
          <w:sz w:val="22"/>
        </w:rPr>
        <w:t xml:space="preserve"> </w:t>
      </w:r>
      <w:hyperlink w:anchor="_ENREF_13" w:tooltip="Fata, 2024 #10251" w:history="1">
        <w:r w:rsidR="00E575EB" w:rsidRPr="00DD4652">
          <w:rPr>
            <w:rStyle w:val="Hyperlink"/>
            <w:rFonts w:eastAsia="Times New Roman"/>
            <w:sz w:val="22"/>
          </w:rPr>
          <w:fldChar w:fldCharType="begin"/>
        </w:r>
        <w:r w:rsidR="00E575EB" w:rsidRPr="00DD4652">
          <w:rPr>
            <w:rStyle w:val="Hyperlink"/>
            <w:rFonts w:eastAsia="Times New Roman"/>
            <w:sz w:val="22"/>
          </w:rPr>
          <w:instrText xml:space="preserve"> ADDIN EN.CITE &lt;EndNote&gt;&lt;Cite AuthorYear="1"&gt;&lt;Author&gt;Fata&lt;/Author&gt;&lt;Year&gt;2024&lt;/Year&gt;&lt;RecNum&gt;10251&lt;/RecNum&gt;&lt;DisplayText&gt;Fata and Arifin (2024)&lt;/DisplayText&gt;&lt;record&gt;&lt;rec-number&gt;10251&lt;/rec-number&gt;&lt;foreign-keys&gt;&lt;key app="EN" db-id="x5ezdazsa9zseqe5esy5zw9wxe95pawf2e0d" timestamp="1784695762"&gt;10251&lt;/key&gt;&lt;/foreign-keys&gt;&lt;ref-type name="Journal Article"&gt;17&lt;/ref-type&gt;&lt;contributors&gt;&lt;authors&gt;&lt;author&gt;Fata, Fikri Ali&lt;/author&gt;&lt;author&gt;Arifin, Zaenal&lt;/author&gt;&lt;/authors&gt;&lt;/contributors&gt;&lt;titles&gt;&lt;title&gt;The impact of green credit distribution on bank performance and influencing factors: a case study of Indonesian banks&lt;/title&gt;&lt;secondary-title&gt;International Journal of Research in Business and Social Science&lt;/secondary-title&gt;&lt;/titles&gt;&lt;periodical&gt;&lt;full-title&gt;International Journal of Research in Business and Social Science&lt;/full-title&gt;&lt;/periodical&gt;&lt;pages&gt;323-332&lt;/pages&gt;&lt;volume&gt;13&lt;/volume&gt;&lt;number&gt;1&lt;/number&gt;&lt;dates&gt;&lt;year&gt;2024&lt;/year&gt;&lt;/dates&gt;&lt;isbn&gt;2147-4478&lt;/isbn&gt;&lt;urls&gt;&lt;/urls&gt;&lt;electronic-resource-num&gt;https://doi.org/10.20525/ijrbs.v13i1.3185&lt;/electronic-resource-num&gt;&lt;/record&gt;&lt;/Cite&gt;&lt;/EndNote&gt;</w:instrText>
        </w:r>
        <w:r w:rsidR="00E575EB" w:rsidRPr="00DD4652">
          <w:rPr>
            <w:rStyle w:val="Hyperlink"/>
            <w:rFonts w:eastAsia="Times New Roman"/>
            <w:sz w:val="22"/>
          </w:rPr>
          <w:fldChar w:fldCharType="separate"/>
        </w:r>
        <w:r w:rsidR="00E575EB" w:rsidRPr="00DD4652">
          <w:rPr>
            <w:rStyle w:val="Hyperlink"/>
            <w:rFonts w:eastAsia="Times New Roman"/>
            <w:sz w:val="22"/>
          </w:rPr>
          <w:t>Fata and Arifin (2024)</w:t>
        </w:r>
        <w:r w:rsidR="00E575EB" w:rsidRPr="00DD4652">
          <w:rPr>
            <w:rStyle w:val="Hyperlink"/>
            <w:rFonts w:eastAsia="Times New Roman"/>
            <w:sz w:val="22"/>
          </w:rPr>
          <w:fldChar w:fldCharType="end"/>
        </w:r>
      </w:hyperlink>
      <w:r w:rsidRPr="00DD4652">
        <w:rPr>
          <w:rFonts w:eastAsia="Times New Roman"/>
          <w:sz w:val="22"/>
        </w:rPr>
        <w:t>. The use of a ratio is selected because it controls for differences in bank size. The GCR measurement formula is as follows:</w:t>
      </w:r>
    </w:p>
    <w:p w14:paraId="152AF105" w14:textId="7EC67770" w:rsidR="002A62CD" w:rsidRPr="00DD4652" w:rsidRDefault="002A62CD" w:rsidP="00917C19">
      <w:pPr>
        <w:spacing w:line="240" w:lineRule="auto"/>
        <w:jc w:val="center"/>
        <w:rPr>
          <w:rFonts w:eastAsia="Times New Roman"/>
          <w:i/>
          <w:i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34022B" w:rsidRPr="00DD4652" w14:paraId="6DB93129" w14:textId="77777777" w:rsidTr="001D3EB4">
        <w:tc>
          <w:tcPr>
            <w:tcW w:w="8365" w:type="dxa"/>
          </w:tcPr>
          <w:p w14:paraId="585FEF5B" w14:textId="21957C18" w:rsidR="0034022B" w:rsidRPr="00DD4652" w:rsidRDefault="0034022B" w:rsidP="001D3EB4">
            <w:pPr>
              <w:spacing w:line="240" w:lineRule="auto"/>
              <w:jc w:val="both"/>
              <w:rPr>
                <w:rFonts w:eastAsia="Times New Roman"/>
                <w:sz w:val="22"/>
              </w:rPr>
            </w:pPr>
            <m:oMathPara>
              <m:oMath>
                <m:r>
                  <w:rPr>
                    <w:rFonts w:ascii="Cambria Math" w:eastAsia="Times New Roman" w:hAnsi="Cambria Math"/>
                    <w:sz w:val="22"/>
                  </w:rPr>
                  <m:t>GCR = (Total Sustainable Credit / Total Credit) × 100%</m:t>
                </m:r>
              </m:oMath>
            </m:oMathPara>
          </w:p>
        </w:tc>
        <w:tc>
          <w:tcPr>
            <w:tcW w:w="413" w:type="dxa"/>
          </w:tcPr>
          <w:p w14:paraId="736E68D9" w14:textId="36AD329D" w:rsidR="0034022B" w:rsidRPr="00DD4652" w:rsidRDefault="0034022B" w:rsidP="001D3EB4">
            <w:pPr>
              <w:spacing w:line="240" w:lineRule="auto"/>
              <w:jc w:val="right"/>
              <w:rPr>
                <w:rFonts w:eastAsia="Times New Roman"/>
                <w:sz w:val="22"/>
              </w:rPr>
            </w:pPr>
            <w:r w:rsidRPr="00DD4652">
              <w:rPr>
                <w:rFonts w:eastAsia="Times New Roman"/>
                <w:sz w:val="22"/>
              </w:rPr>
              <w:t>(2)</w:t>
            </w:r>
          </w:p>
        </w:tc>
      </w:tr>
    </w:tbl>
    <w:p w14:paraId="34E8A314" w14:textId="77777777" w:rsidR="0034022B" w:rsidRPr="00DD4652" w:rsidRDefault="0034022B" w:rsidP="0034022B">
      <w:pPr>
        <w:spacing w:line="240" w:lineRule="auto"/>
        <w:rPr>
          <w:sz w:val="22"/>
        </w:rPr>
      </w:pPr>
    </w:p>
    <w:p w14:paraId="23707DA4" w14:textId="1B6EA06D" w:rsidR="00FC45DE" w:rsidRPr="00DD4652" w:rsidRDefault="0034022B" w:rsidP="0034022B">
      <w:pPr>
        <w:spacing w:line="240" w:lineRule="auto"/>
        <w:ind w:firstLine="540"/>
        <w:jc w:val="both"/>
        <w:rPr>
          <w:sz w:val="22"/>
        </w:rPr>
      </w:pPr>
      <w:r w:rsidRPr="00DD4652">
        <w:rPr>
          <w:sz w:val="22"/>
        </w:rPr>
        <w:t>Formula 2 shows GCR represents the proportion of sustainable financing within the bank’s overall credit portfolio, Total Sustainable Credit refers to the amount of credit allocated to sectors or activities categorized as sustainable based on applicable sustainable finance frameworks, and Total Credit represents the total credit extended by the bank during the observation period. This measurement provides an indicator of banks’ green financing commitment and allows empirical evaluation of whether sustainable credit allocation contributes to financial performance.</w:t>
      </w:r>
    </w:p>
    <w:p w14:paraId="3413EF41" w14:textId="77777777" w:rsidR="0034022B" w:rsidRPr="00DD4652" w:rsidRDefault="0034022B" w:rsidP="0034022B">
      <w:pPr>
        <w:spacing w:line="240" w:lineRule="auto"/>
        <w:rPr>
          <w:sz w:val="22"/>
        </w:rPr>
      </w:pPr>
    </w:p>
    <w:p w14:paraId="61679C9D" w14:textId="7F57E76E" w:rsidR="001116B9" w:rsidRPr="00DD4652" w:rsidRDefault="0034022B" w:rsidP="0034022B">
      <w:pPr>
        <w:pStyle w:val="ListParagraph"/>
        <w:numPr>
          <w:ilvl w:val="1"/>
          <w:numId w:val="1"/>
        </w:numPr>
        <w:spacing w:line="240" w:lineRule="auto"/>
        <w:ind w:left="540" w:right="58" w:hanging="540"/>
        <w:jc w:val="both"/>
        <w:rPr>
          <w:sz w:val="22"/>
        </w:rPr>
      </w:pPr>
      <w:r w:rsidRPr="00DD4652">
        <w:rPr>
          <w:b/>
          <w:bCs/>
          <w:sz w:val="22"/>
        </w:rPr>
        <w:t>Non-Performing</w:t>
      </w:r>
      <w:r w:rsidR="001116B9" w:rsidRPr="00DD4652">
        <w:rPr>
          <w:b/>
          <w:bCs/>
          <w:sz w:val="22"/>
        </w:rPr>
        <w:t xml:space="preserve"> Loan</w:t>
      </w:r>
    </w:p>
    <w:p w14:paraId="5F792302" w14:textId="4E9C5331" w:rsidR="002A62CD" w:rsidRPr="00DD4652" w:rsidRDefault="002A62CD" w:rsidP="0034022B">
      <w:pPr>
        <w:spacing w:line="240" w:lineRule="auto"/>
        <w:ind w:firstLine="540"/>
        <w:jc w:val="both"/>
        <w:rPr>
          <w:rFonts w:eastAsia="Times New Roman"/>
          <w:sz w:val="22"/>
        </w:rPr>
      </w:pPr>
      <w:r w:rsidRPr="00DD4652">
        <w:rPr>
          <w:rFonts w:eastAsia="Times New Roman"/>
          <w:sz w:val="22"/>
        </w:rPr>
        <w:t>Credit risk is the risk that a debtor will fail to fulfill its credit obligations to the bank. Non-Performing Loan (NPL) measures the proportion of problematic credit relative to total disbursed credit, thereby reflecting the quality of the credit portfolio as well as management's effectiveness in selecting and supervising debtors</w:t>
      </w:r>
      <w:r w:rsidR="005F333F" w:rsidRPr="00DD4652">
        <w:rPr>
          <w:rFonts w:eastAsia="Times New Roman"/>
          <w:color w:val="000000"/>
          <w:sz w:val="22"/>
        </w:rPr>
        <w:t xml:space="preserve"> </w:t>
      </w:r>
      <w:r w:rsidR="005F333F" w:rsidRPr="00DD4652">
        <w:rPr>
          <w:rFonts w:eastAsia="Times New Roman"/>
          <w:color w:val="000000"/>
          <w:sz w:val="22"/>
        </w:rPr>
        <w:fldChar w:fldCharType="begin"/>
      </w:r>
      <w:r w:rsidR="00A72946" w:rsidRPr="00DD4652">
        <w:rPr>
          <w:rFonts w:eastAsia="Times New Roman"/>
          <w:color w:val="000000"/>
          <w:sz w:val="22"/>
        </w:rPr>
        <w:instrText xml:space="preserve"> ADDIN EN.CITE &lt;EndNote&gt;&lt;Cite&gt;&lt;Author&gt;Ekinci&lt;/Author&gt;&lt;Year&gt;2019&lt;/Year&gt;&lt;RecNum&gt;10246&lt;/RecNum&gt;&lt;DisplayText&gt;(Berger &amp;amp; DeYoung, 1997; Ekinci &amp;amp; Poyraz, 2019)&lt;/DisplayText&gt;&lt;record&gt;&lt;rec-number&gt;10246&lt;/rec-number&gt;&lt;foreign-keys&gt;&lt;key app="EN" db-id="x5ezdazsa9zseqe5esy5zw9wxe95pawf2e0d" timestamp="1784694740"&gt;10246&lt;/key&gt;&lt;/foreign-keys&gt;&lt;ref-type name="Journal Article"&gt;17&lt;/ref-type&gt;&lt;contributors&gt;&lt;authors&gt;&lt;author&gt;Ekinci, Ramazan&lt;/author&gt;&lt;author&gt;Poyraz, Gulden&lt;/author&gt;&lt;/authors&gt;&lt;/contributors&gt;&lt;titles&gt;&lt;title&gt;The effect of credit risk on financial performance of deposit banks in Turkey&lt;/title&gt;&lt;secondary-title&gt;Procedia computer science&lt;/secondary-title&gt;&lt;/titles&gt;&lt;periodical&gt;&lt;full-title&gt;Procedia Computer Science&lt;/full-title&gt;&lt;/periodical&gt;&lt;pages&gt;979-987&lt;/pages&gt;&lt;volume&gt;158&lt;/volume&gt;&lt;dates&gt;&lt;year&gt;2019&lt;/year&gt;&lt;/dates&gt;&lt;isbn&gt;1877-0509&lt;/isbn&gt;&lt;urls&gt;&lt;/urls&gt;&lt;electronic-resource-num&gt;https://doi.org/10.1016/j.procs.2019.09.139&lt;/electronic-resource-num&gt;&lt;/record&gt;&lt;/Cite&gt;&lt;Cite&gt;&lt;Author&gt;Berger&lt;/Author&gt;&lt;Year&gt;1997&lt;/Year&gt;&lt;RecNum&gt;10256&lt;/RecNum&gt;&lt;record&gt;&lt;rec-number&gt;10256&lt;/rec-number&gt;&lt;foreign-keys&gt;&lt;key app="EN" db-id="x5ezdazsa9zseqe5esy5zw9wxe95pawf2e0d" timestamp="1784700433"&gt;10256&lt;/key&gt;&lt;/foreign-keys&gt;&lt;ref-type name="Journal Article"&gt;17&lt;/ref-type&gt;&lt;contributors&gt;&lt;authors&gt;&lt;author&gt;Berger, Allen N&lt;/author&gt;&lt;author&gt;DeYoung, Robert&lt;/author&gt;&lt;/authors&gt;&lt;/contributors&gt;&lt;titles&gt;&lt;title&gt;Problem loans and cost efficiency in commercial banks&lt;/title&gt;&lt;secondary-title&gt;Journal of banking &amp;amp; finance&lt;/secondary-title&gt;&lt;/titles&gt;&lt;periodical&gt;&lt;full-title&gt;Journal of Banking &amp;amp; finance&lt;/full-title&gt;&lt;/periodical&gt;&lt;pages&gt;849-870&lt;/pages&gt;&lt;volume&gt;21&lt;/volume&gt;&lt;number&gt;6&lt;/number&gt;&lt;dates&gt;&lt;year&gt;1997&lt;/year&gt;&lt;/dates&gt;&lt;isbn&gt;0378-4266&lt;/isbn&gt;&lt;urls&gt;&lt;/urls&gt;&lt;electronic-resource-num&gt;https://doi.org/10.1016/S0378-4266(97)00003-4&lt;/electronic-resource-num&gt;&lt;/record&gt;&lt;/Cite&gt;&lt;/EndNote&gt;</w:instrText>
      </w:r>
      <w:r w:rsidR="005F333F" w:rsidRPr="00DD4652">
        <w:rPr>
          <w:rFonts w:eastAsia="Times New Roman"/>
          <w:color w:val="000000"/>
          <w:sz w:val="22"/>
        </w:rPr>
        <w:fldChar w:fldCharType="separate"/>
      </w:r>
      <w:r w:rsidR="00A72946" w:rsidRPr="00DD4652">
        <w:rPr>
          <w:rFonts w:eastAsia="Times New Roman"/>
          <w:color w:val="000000"/>
          <w:sz w:val="22"/>
        </w:rPr>
        <w:t>(</w:t>
      </w:r>
      <w:hyperlink w:anchor="_ENREF_8" w:tooltip="Berger, 1997 #10256" w:history="1">
        <w:r w:rsidR="00A72946" w:rsidRPr="00DD4652">
          <w:rPr>
            <w:rStyle w:val="Hyperlink"/>
            <w:rFonts w:eastAsia="Times New Roman"/>
            <w:sz w:val="22"/>
          </w:rPr>
          <w:t>Berger &amp; DeYoung, 1997</w:t>
        </w:r>
      </w:hyperlink>
      <w:r w:rsidR="00A72946" w:rsidRPr="00DD4652">
        <w:rPr>
          <w:rFonts w:eastAsia="Times New Roman"/>
          <w:color w:val="000000"/>
          <w:sz w:val="22"/>
        </w:rPr>
        <w:t xml:space="preserve">; </w:t>
      </w:r>
      <w:hyperlink w:anchor="_ENREF_12" w:tooltip="Ekinci, 2019 #10246" w:history="1">
        <w:r w:rsidR="00A72946" w:rsidRPr="00DD4652">
          <w:rPr>
            <w:rStyle w:val="Hyperlink"/>
            <w:rFonts w:eastAsia="Times New Roman"/>
            <w:sz w:val="22"/>
          </w:rPr>
          <w:t>Ekinci &amp; Poyraz, 2019</w:t>
        </w:r>
      </w:hyperlink>
      <w:r w:rsidR="00A72946" w:rsidRPr="00DD4652">
        <w:rPr>
          <w:rFonts w:eastAsia="Times New Roman"/>
          <w:color w:val="000000"/>
          <w:sz w:val="22"/>
        </w:rPr>
        <w:t>)</w:t>
      </w:r>
      <w:r w:rsidR="005F333F" w:rsidRPr="00DD4652">
        <w:rPr>
          <w:rFonts w:eastAsia="Times New Roman"/>
          <w:color w:val="000000"/>
          <w:sz w:val="22"/>
        </w:rPr>
        <w:fldChar w:fldCharType="end"/>
      </w:r>
      <w:r w:rsidRPr="00DD4652">
        <w:rPr>
          <w:rFonts w:eastAsia="Times New Roman"/>
          <w:sz w:val="22"/>
        </w:rPr>
        <w:t xml:space="preserve">. Problematic credit covers loans with substandard, doubtful, and loss </w:t>
      </w:r>
      <w:r w:rsidR="00B3266D" w:rsidRPr="00DD4652">
        <w:rPr>
          <w:rFonts w:eastAsia="Times New Roman"/>
          <w:sz w:val="22"/>
        </w:rPr>
        <w:t>collectability</w:t>
      </w:r>
      <w:r w:rsidRPr="00DD4652">
        <w:rPr>
          <w:rFonts w:eastAsia="Times New Roman"/>
          <w:sz w:val="22"/>
        </w:rPr>
        <w:t xml:space="preserve"> classifications in accordance with Bank Indonesia Regulation (PBI) No. 14/15/PBI/2012 on the Asset Quality Assessment of Commercial Banks. The negative effect of NPL on profitability operates through two simultaneous channels: an increase in the CKPN burden, which directly reduces operating profit, and the loss of interest income from non-performing loans</w:t>
      </w:r>
      <w:r w:rsidR="00432863" w:rsidRPr="00DD4652">
        <w:rPr>
          <w:rFonts w:eastAsia="Times New Roman"/>
          <w:color w:val="000000"/>
          <w:sz w:val="22"/>
        </w:rPr>
        <w:t xml:space="preserve"> </w:t>
      </w:r>
      <w:r w:rsidR="00432863" w:rsidRPr="00DD4652">
        <w:rPr>
          <w:rFonts w:eastAsia="Times New Roman"/>
          <w:color w:val="000000"/>
          <w:sz w:val="22"/>
        </w:rPr>
        <w:fldChar w:fldCharType="begin"/>
      </w:r>
      <w:r w:rsidR="00432863" w:rsidRPr="00DD4652">
        <w:rPr>
          <w:rFonts w:eastAsia="Times New Roman"/>
          <w:color w:val="000000"/>
          <w:sz w:val="22"/>
        </w:rPr>
        <w:instrText xml:space="preserve"> ADDIN EN.CITE &lt;EndNote&gt;&lt;Cite&gt;&lt;Author&gt;Gupta&lt;/Author&gt;&lt;Year&gt;2026&lt;/Year&gt;&lt;RecNum&gt;10224&lt;/RecNum&gt;&lt;DisplayText&gt;(Gupta &amp;amp;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432863" w:rsidRPr="00DD4652">
        <w:rPr>
          <w:rFonts w:eastAsia="Times New Roman"/>
          <w:color w:val="000000"/>
          <w:sz w:val="22"/>
        </w:rPr>
        <w:fldChar w:fldCharType="separate"/>
      </w:r>
      <w:r w:rsidR="00432863" w:rsidRPr="00DD4652">
        <w:rPr>
          <w:rFonts w:eastAsia="Times New Roman"/>
          <w:color w:val="000000"/>
          <w:sz w:val="22"/>
        </w:rPr>
        <w:t>(</w:t>
      </w:r>
      <w:hyperlink w:anchor="_ENREF_17" w:tooltip="Gupta, 2026 #10224" w:history="1">
        <w:r w:rsidR="00432863" w:rsidRPr="00DD4652">
          <w:rPr>
            <w:rStyle w:val="Hyperlink"/>
            <w:rFonts w:eastAsia="Times New Roman"/>
            <w:sz w:val="22"/>
          </w:rPr>
          <w:t>Gupta &amp; Bansal, 2026</w:t>
        </w:r>
      </w:hyperlink>
      <w:r w:rsidR="00432863" w:rsidRPr="00DD4652">
        <w:rPr>
          <w:rFonts w:eastAsia="Times New Roman"/>
          <w:color w:val="000000"/>
          <w:sz w:val="22"/>
        </w:rPr>
        <w:t>)</w:t>
      </w:r>
      <w:r w:rsidR="00432863" w:rsidRPr="00DD4652">
        <w:rPr>
          <w:rFonts w:eastAsia="Times New Roman"/>
          <w:color w:val="000000"/>
          <w:sz w:val="22"/>
        </w:rPr>
        <w:fldChar w:fldCharType="end"/>
      </w:r>
      <w:r w:rsidRPr="00DD4652">
        <w:rPr>
          <w:rFonts w:eastAsia="Times New Roman"/>
          <w:sz w:val="22"/>
        </w:rPr>
        <w:t xml:space="preserve">. Recent studies by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xml:space="preserve"> in India a</w:t>
      </w:r>
      <w:r w:rsidR="00AF0B1D" w:rsidRPr="00DD4652">
        <w:rPr>
          <w:rFonts w:eastAsia="Times New Roman"/>
          <w:sz w:val="22"/>
        </w:rPr>
        <w:t>n</w:t>
      </w:r>
      <w:r w:rsidRPr="00DD4652">
        <w:rPr>
          <w:rFonts w:eastAsia="Times New Roman"/>
          <w:sz w:val="22"/>
        </w:rPr>
        <w:t xml:space="preserve">d </w:t>
      </w:r>
      <w:hyperlink w:anchor="_ENREF_28" w:tooltip="Nguyen, 2025 #10248" w:history="1">
        <w:r w:rsidR="00AF0B1D" w:rsidRPr="00DD4652">
          <w:rPr>
            <w:rStyle w:val="Hyperlink"/>
            <w:rFonts w:eastAsia="Times New Roman"/>
            <w:sz w:val="22"/>
          </w:rPr>
          <w:fldChar w:fldCharType="begin"/>
        </w:r>
        <w:r w:rsidR="00AF0B1D" w:rsidRPr="00DD4652">
          <w:rPr>
            <w:rStyle w:val="Hyperlink"/>
            <w:rFonts w:eastAsia="Times New Roman"/>
            <w:sz w:val="22"/>
          </w:rPr>
          <w:instrText xml:space="preserve"> ADDIN EN.CITE &lt;EndNote&gt;&lt;Cite AuthorYear="1"&gt;&lt;Author&gt;Nguyen&lt;/Author&gt;&lt;Year&gt;2025&lt;/Year&gt;&lt;RecNum&gt;10248&lt;/RecNum&gt;&lt;DisplayText&gt;P. D. Nguyen (2025)&lt;/DisplayText&gt;&lt;record&gt;&lt;rec-number&gt;10248&lt;/rec-number&gt;&lt;foreign-keys&gt;&lt;key app="EN" db-id="x5ezdazsa9zseqe5esy5zw9wxe95pawf2e0d" timestamp="1784695190"&gt;10248&lt;/key&gt;&lt;/foreign-keys&gt;&lt;ref-type name="Journal Article"&gt;17&lt;/ref-type&gt;&lt;contributors&gt;&lt;authors&gt;&lt;author&gt;Nguyen, Phan Dinh&lt;/author&gt;&lt;/authors&gt;&lt;/contributors&gt;&lt;titles&gt;&lt;title&gt;Non-performing loans and bank profitability: evidence from Vietnam&lt;/title&gt;&lt;secondary-title&gt;Macroeconomics and Finance in Emerging Market Economies&lt;/secondary-title&gt;&lt;/titles&gt;&lt;periodical&gt;&lt;full-title&gt;Macroeconomics and Finance in Emerging Market Economies&lt;/full-title&gt;&lt;/periodical&gt;&lt;pages&gt;399-419&lt;/pages&gt;&lt;volume&gt;18&lt;/volume&gt;&lt;number&gt;2&lt;/number&gt;&lt;dates&gt;&lt;year&gt;2025&lt;/year&gt;&lt;/dates&gt;&lt;isbn&gt;1752-0843&lt;/isbn&gt;&lt;urls&gt;&lt;/urls&gt;&lt;electronic-resource-num&gt;https://doi.org/10.1080/17520843.2024.2318927&lt;/electronic-resource-num&gt;&lt;/record&gt;&lt;/Cite&gt;&lt;/EndNote&gt;</w:instrText>
        </w:r>
        <w:r w:rsidR="00AF0B1D" w:rsidRPr="00DD4652">
          <w:rPr>
            <w:rStyle w:val="Hyperlink"/>
            <w:rFonts w:eastAsia="Times New Roman"/>
            <w:sz w:val="22"/>
          </w:rPr>
          <w:fldChar w:fldCharType="separate"/>
        </w:r>
        <w:r w:rsidR="00AF0B1D" w:rsidRPr="00DD4652">
          <w:rPr>
            <w:rStyle w:val="Hyperlink"/>
            <w:rFonts w:eastAsia="Times New Roman"/>
            <w:sz w:val="22"/>
          </w:rPr>
          <w:t>P. D. Nguyen (2025)</w:t>
        </w:r>
        <w:r w:rsidR="00AF0B1D" w:rsidRPr="00DD4652">
          <w:rPr>
            <w:rStyle w:val="Hyperlink"/>
            <w:rFonts w:eastAsia="Times New Roman"/>
            <w:sz w:val="22"/>
          </w:rPr>
          <w:fldChar w:fldCharType="end"/>
        </w:r>
      </w:hyperlink>
      <w:r w:rsidRPr="00DD4652">
        <w:rPr>
          <w:rFonts w:eastAsia="Times New Roman"/>
          <w:sz w:val="22"/>
        </w:rPr>
        <w:t xml:space="preserve"> in Vietnam confirm the consistency of this pattern across emerging markets. </w:t>
      </w:r>
      <w:hyperlink w:anchor="_ENREF_31" w:tooltip="Ozili, 2017 #10230" w:history="1">
        <w:r w:rsidR="00E43C9A" w:rsidRPr="00DD4652">
          <w:rPr>
            <w:rStyle w:val="Hyperlink"/>
            <w:rFonts w:eastAsia="Times New Roman"/>
            <w:sz w:val="22"/>
          </w:rPr>
          <w:fldChar w:fldCharType="begin"/>
        </w:r>
        <w:r w:rsidR="00E43C9A" w:rsidRPr="00DD4652">
          <w:rPr>
            <w:rStyle w:val="Hyperlink"/>
            <w:rFonts w:eastAsia="Times New Roman"/>
            <w:sz w:val="22"/>
          </w:rPr>
          <w:instrText xml:space="preserve"> ADDIN EN.CITE &lt;EndNote&gt;&lt;Cite AuthorYear="1"&gt;&lt;Author&gt;Ozili&lt;/Author&gt;&lt;Year&gt;2017&lt;/Year&gt;&lt;RecNum&gt;10230&lt;/RecNum&gt;&lt;DisplayText&gt;Ozili and Outa (2017)&lt;/DisplayText&gt;&lt;record&gt;&lt;rec-number&gt;10230&lt;/rec-number&gt;&lt;foreign-keys&gt;&lt;key app="EN" db-id="x5ezdazsa9zseqe5esy5zw9wxe95pawf2e0d" timestamp="1784692938"&gt;10230&lt;/key&gt;&lt;/foreign-keys&gt;&lt;ref-type name="Journal Article"&gt;17&lt;/ref-type&gt;&lt;contributors&gt;&lt;authors&gt;&lt;author&gt;Ozili, Peterson K&lt;/author&gt;&lt;author&gt;Outa, Erick&lt;/author&gt;&lt;/authors&gt;&lt;/contributors&gt;&lt;titles&gt;&lt;title&gt;Bank loan loss provisions research: A review&lt;/title&gt;&lt;secondary-title&gt;Borsa Istanbul Review&lt;/secondary-title&gt;&lt;/titles&gt;&lt;periodical&gt;&lt;full-title&gt;Borsa Istanbul Review&lt;/full-title&gt;&lt;/periodical&gt;&lt;pages&gt;144-163&lt;/pages&gt;&lt;volume&gt;17&lt;/volume&gt;&lt;number&gt;3&lt;/number&gt;&lt;dates&gt;&lt;year&gt;2017&lt;/year&gt;&lt;/dates&gt;&lt;isbn&gt;2214-8450&lt;/isbn&gt;&lt;urls&gt;&lt;/urls&gt;&lt;electronic-resource-num&gt;https://doi.org/10.1016/j.bir.2017.05.001&lt;/electronic-resource-num&gt;&lt;/record&gt;&lt;/Cite&gt;&lt;/EndNote&gt;</w:instrText>
        </w:r>
        <w:r w:rsidR="00E43C9A" w:rsidRPr="00DD4652">
          <w:rPr>
            <w:rStyle w:val="Hyperlink"/>
            <w:rFonts w:eastAsia="Times New Roman"/>
            <w:sz w:val="22"/>
          </w:rPr>
          <w:fldChar w:fldCharType="separate"/>
        </w:r>
        <w:r w:rsidR="00E43C9A" w:rsidRPr="00DD4652">
          <w:rPr>
            <w:rStyle w:val="Hyperlink"/>
            <w:rFonts w:eastAsia="Times New Roman"/>
            <w:sz w:val="22"/>
          </w:rPr>
          <w:t>Ozili and Outa (2017)</w:t>
        </w:r>
        <w:r w:rsidR="00E43C9A" w:rsidRPr="00DD4652">
          <w:rPr>
            <w:rStyle w:val="Hyperlink"/>
            <w:rFonts w:eastAsia="Times New Roman"/>
            <w:sz w:val="22"/>
          </w:rPr>
          <w:fldChar w:fldCharType="end"/>
        </w:r>
      </w:hyperlink>
      <w:r w:rsidR="00E43C9A" w:rsidRPr="00DD4652">
        <w:rPr>
          <w:rFonts w:eastAsia="Times New Roman"/>
          <w:sz w:val="22"/>
        </w:rPr>
        <w:t xml:space="preserve"> </w:t>
      </w:r>
      <w:r w:rsidR="005A0F9F" w:rsidRPr="00DD4652">
        <w:rPr>
          <w:rFonts w:eastAsia="Times New Roman"/>
          <w:sz w:val="22"/>
        </w:rPr>
        <w:t xml:space="preserve">further document that loan-loss provisioning behavior, which is closely tied to NPL dynamics, is shaped by both macroeconomic conditions and institutional governance, while </w:t>
      </w:r>
      <w:hyperlink w:anchor="_ENREF_25" w:tooltip="Mateev, 2023 #10234" w:history="1">
        <w:r w:rsidR="00C42099" w:rsidRPr="00DD4652">
          <w:rPr>
            <w:rStyle w:val="Hyperlink"/>
            <w:rFonts w:eastAsia="Times New Roman"/>
            <w:sz w:val="22"/>
          </w:rPr>
          <w:fldChar w:fldCharType="begin"/>
        </w:r>
        <w:r w:rsidR="00C42099" w:rsidRPr="00DD4652">
          <w:rPr>
            <w:rStyle w:val="Hyperlink"/>
            <w:rFonts w:eastAsia="Times New Roman"/>
            <w:sz w:val="22"/>
          </w:rPr>
          <w:instrText xml:space="preserve"> ADDIN EN.CITE &lt;EndNote&gt;&lt;Cite AuthorYear="1"&gt;&lt;Author&gt;Mateev&lt;/Author&gt;&lt;Year&gt;2023&lt;/Year&gt;&lt;RecNum&gt;10234&lt;/RecNum&gt;&lt;DisplayText&gt;Mateev, Sahyouni, and Tariq (2023)&lt;/DisplayText&gt;&lt;record&gt;&lt;rec-number&gt;10234&lt;/rec-number&gt;&lt;foreign-keys&gt;&lt;key app="EN" db-id="x5ezdazsa9zseqe5esy5zw9wxe95pawf2e0d" timestamp="1784693482"&gt;10234&lt;/key&gt;&lt;/foreign-keys&gt;&lt;ref-type name="Journal Article"&gt;17&lt;/ref-type&gt;&lt;contributors&gt;&lt;authors&gt;&lt;author&gt;Mateev, Miroslav&lt;/author&gt;&lt;author&gt;Sahyouni, Ahmad&lt;/author&gt;&lt;author&gt;Tariq, Muhammad Usman&lt;/author&gt;&lt;/authors&gt;&lt;/contributors&gt;&lt;titles&gt;&lt;title&gt;Bank regulation, ownership and risk taking behavior in the MENA region: Policy implications for banks in emerging economies&lt;/title&gt;&lt;secondary-title&gt;Review of Managerial Science&lt;/secondary-title&gt;&lt;/titles&gt;&lt;periodical&gt;&lt;full-title&gt;Review of managerial science&lt;/full-title&gt;&lt;/periodical&gt;&lt;pages&gt;287-338&lt;/pages&gt;&lt;volume&gt;17&lt;/volume&gt;&lt;number&gt;1&lt;/number&gt;&lt;dates&gt;&lt;year&gt;2023&lt;/year&gt;&lt;/dates&gt;&lt;isbn&gt;1863-6683&lt;/isbn&gt;&lt;urls&gt;&lt;/urls&gt;&lt;electronic-resource-num&gt;https://doi.org/10.1007/s11846-022-00529-5&lt;/electronic-resource-num&gt;&lt;/record&gt;&lt;/Cite&gt;&lt;/EndNote&gt;</w:instrText>
        </w:r>
        <w:r w:rsidR="00C42099" w:rsidRPr="00DD4652">
          <w:rPr>
            <w:rStyle w:val="Hyperlink"/>
            <w:rFonts w:eastAsia="Times New Roman"/>
            <w:sz w:val="22"/>
          </w:rPr>
          <w:fldChar w:fldCharType="separate"/>
        </w:r>
        <w:r w:rsidR="00C42099" w:rsidRPr="00DD4652">
          <w:rPr>
            <w:rStyle w:val="Hyperlink"/>
            <w:rFonts w:eastAsia="Times New Roman"/>
            <w:sz w:val="22"/>
          </w:rPr>
          <w:t>Mateev, Sahyouni, and Tariq (2023)</w:t>
        </w:r>
        <w:r w:rsidR="00C42099" w:rsidRPr="00DD4652">
          <w:rPr>
            <w:rStyle w:val="Hyperlink"/>
            <w:rFonts w:eastAsia="Times New Roman"/>
            <w:sz w:val="22"/>
          </w:rPr>
          <w:fldChar w:fldCharType="end"/>
        </w:r>
      </w:hyperlink>
      <w:r w:rsidR="005A0F9F" w:rsidRPr="00DD4652">
        <w:rPr>
          <w:rFonts w:eastAsia="Times New Roman"/>
          <w:sz w:val="22"/>
        </w:rPr>
        <w:t xml:space="preserve"> provide cross-country evidence that NPL determinants and their effect on profitability vary significantly with bank-specific characteristics in emerging-market </w:t>
      </w:r>
      <w:proofErr w:type="spellStart"/>
      <w:r w:rsidR="005A0F9F" w:rsidRPr="00DD4652">
        <w:rPr>
          <w:rFonts w:eastAsia="Times New Roman"/>
          <w:sz w:val="22"/>
        </w:rPr>
        <w:t>settings.</w:t>
      </w:r>
      <w:r w:rsidRPr="00DD4652">
        <w:rPr>
          <w:rFonts w:eastAsia="Times New Roman"/>
          <w:sz w:val="22"/>
        </w:rPr>
        <w:t>The</w:t>
      </w:r>
      <w:proofErr w:type="spellEnd"/>
      <w:r w:rsidRPr="00DD4652">
        <w:rPr>
          <w:rFonts w:eastAsia="Times New Roman"/>
          <w:sz w:val="22"/>
        </w:rPr>
        <w:t xml:space="preserve"> NPL measurement formula is as follows:</w:t>
      </w:r>
    </w:p>
    <w:p w14:paraId="4540FEAF" w14:textId="66AC3D9B" w:rsidR="002A62CD" w:rsidRPr="00DD4652" w:rsidRDefault="002A62CD" w:rsidP="0034022B">
      <w:pPr>
        <w:spacing w:line="240" w:lineRule="auto"/>
        <w:rPr>
          <w:rFonts w:eastAsia="Times New Roman"/>
          <w:i/>
          <w:i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34022B" w:rsidRPr="00DD4652" w14:paraId="54E512E0" w14:textId="77777777" w:rsidTr="0034022B">
        <w:tc>
          <w:tcPr>
            <w:tcW w:w="8327" w:type="dxa"/>
          </w:tcPr>
          <w:p w14:paraId="4E7398A2" w14:textId="05609E79" w:rsidR="0034022B" w:rsidRPr="00DD4652" w:rsidRDefault="0034022B" w:rsidP="001D3EB4">
            <w:pPr>
              <w:spacing w:line="240" w:lineRule="auto"/>
              <w:jc w:val="both"/>
              <w:rPr>
                <w:rFonts w:eastAsia="Times New Roman"/>
                <w:sz w:val="22"/>
              </w:rPr>
            </w:pPr>
            <m:oMathPara>
              <m:oMath>
                <m:r>
                  <w:rPr>
                    <w:rFonts w:ascii="Cambria Math" w:eastAsia="Times New Roman" w:hAnsi="Cambria Math"/>
                    <w:sz w:val="22"/>
                  </w:rPr>
                  <m:t>NPL = (Total Non-Performing Loans / Total Loans) × 100%</m:t>
                </m:r>
              </m:oMath>
            </m:oMathPara>
          </w:p>
        </w:tc>
        <w:tc>
          <w:tcPr>
            <w:tcW w:w="461" w:type="dxa"/>
          </w:tcPr>
          <w:p w14:paraId="43B3698D" w14:textId="1BBB28DC" w:rsidR="0034022B" w:rsidRPr="00DD4652" w:rsidRDefault="0034022B" w:rsidP="001D3EB4">
            <w:pPr>
              <w:spacing w:line="240" w:lineRule="auto"/>
              <w:jc w:val="right"/>
              <w:rPr>
                <w:rFonts w:eastAsia="Times New Roman"/>
                <w:sz w:val="22"/>
              </w:rPr>
            </w:pPr>
            <w:r w:rsidRPr="00DD4652">
              <w:rPr>
                <w:rFonts w:eastAsia="Times New Roman"/>
                <w:sz w:val="22"/>
              </w:rPr>
              <w:t>(3)</w:t>
            </w:r>
          </w:p>
        </w:tc>
      </w:tr>
    </w:tbl>
    <w:p w14:paraId="4C5F6C1A" w14:textId="77777777" w:rsidR="0034022B" w:rsidRPr="00DD4652" w:rsidRDefault="0034022B" w:rsidP="0034022B">
      <w:pPr>
        <w:spacing w:line="240" w:lineRule="auto"/>
        <w:jc w:val="both"/>
        <w:rPr>
          <w:sz w:val="22"/>
        </w:rPr>
      </w:pPr>
    </w:p>
    <w:p w14:paraId="34081D50" w14:textId="2FC3985D" w:rsidR="00FC45DE" w:rsidRPr="00DD4652" w:rsidRDefault="0034022B" w:rsidP="0034022B">
      <w:pPr>
        <w:spacing w:line="240" w:lineRule="auto"/>
        <w:ind w:firstLine="540"/>
        <w:jc w:val="both"/>
        <w:rPr>
          <w:sz w:val="22"/>
        </w:rPr>
      </w:pPr>
      <w:r w:rsidRPr="00DD4652">
        <w:rPr>
          <w:sz w:val="22"/>
        </w:rPr>
        <w:t>Formula 3 shows NPL represents the proportion of impaired loans within the bank’s total loan portfolio, Total Non-Performing Loans refers to loans classified as non-performing due to failure to meet repayment obligations, and Total Loans represents the total amount of credit provided by the bank during the observation period. This ratio is widely used in banking research to evaluate credit quality and assess the potential impact of credit risk on financial performance.</w:t>
      </w:r>
    </w:p>
    <w:p w14:paraId="1851081A" w14:textId="77777777" w:rsidR="0034022B" w:rsidRPr="00DD4652" w:rsidRDefault="0034022B" w:rsidP="0034022B">
      <w:pPr>
        <w:spacing w:line="240" w:lineRule="auto"/>
        <w:rPr>
          <w:sz w:val="22"/>
        </w:rPr>
      </w:pPr>
    </w:p>
    <w:p w14:paraId="3E36FE44" w14:textId="37FC1573" w:rsidR="001116B9" w:rsidRPr="00DD4652" w:rsidRDefault="001116B9" w:rsidP="0034022B">
      <w:pPr>
        <w:pStyle w:val="ListParagraph"/>
        <w:numPr>
          <w:ilvl w:val="1"/>
          <w:numId w:val="1"/>
        </w:numPr>
        <w:spacing w:line="240" w:lineRule="auto"/>
        <w:ind w:left="540" w:right="58" w:hanging="540"/>
        <w:jc w:val="both"/>
        <w:rPr>
          <w:sz w:val="22"/>
        </w:rPr>
      </w:pPr>
      <w:r w:rsidRPr="00DD4652">
        <w:rPr>
          <w:b/>
          <w:bCs/>
          <w:sz w:val="22"/>
        </w:rPr>
        <w:t>Bank Size</w:t>
      </w:r>
    </w:p>
    <w:p w14:paraId="165F09B2" w14:textId="7B4056F1" w:rsidR="002A62CD" w:rsidRPr="00DD4652" w:rsidRDefault="002A62CD" w:rsidP="0034022B">
      <w:pPr>
        <w:spacing w:line="240" w:lineRule="auto"/>
        <w:ind w:firstLine="540"/>
        <w:jc w:val="both"/>
        <w:rPr>
          <w:rFonts w:eastAsia="Times New Roman"/>
          <w:sz w:val="22"/>
        </w:rPr>
      </w:pPr>
      <w:r w:rsidRPr="00DD4652">
        <w:rPr>
          <w:rFonts w:eastAsia="Times New Roman"/>
          <w:sz w:val="22"/>
        </w:rPr>
        <w:t>Bank size refers to the scale of a bank's operations, reflected in the total asset resources under management. Based on POJK No. 12/POJK.03/2021 on Commercial Banks, banks in Indonesia are classified into four groups according to their core capital (KBMI 1 to KBMI 4), reflecting the very wide range of capacity among banks listed on the IDX. Bank size is positioned as a moderating variable that is presumed to alter the strength of the effect of independent variables on profitability</w:t>
      </w:r>
      <w:r w:rsidR="00A74221" w:rsidRPr="00DD4652">
        <w:rPr>
          <w:rFonts w:eastAsia="Times New Roman"/>
          <w:sz w:val="22"/>
        </w:rPr>
        <w:t xml:space="preserve"> </w:t>
      </w:r>
      <w:r w:rsidR="000343D7" w:rsidRPr="00DD4652">
        <w:rPr>
          <w:rFonts w:eastAsia="Times New Roman"/>
          <w:sz w:val="22"/>
        </w:rPr>
        <w:fldChar w:fldCharType="begin">
          <w:fldData xml:space="preserve">PEVuZE5vdGU+PENpdGU+PEF1dGhvcj5TdXRyaXNubzwvQXV0aG9yPjxZZWFyPjIwMjQ8L1llYXI+
PFJlY051bT4xMDIyMjwvUmVjTnVtPjxEaXNwbGF5VGV4dD4oQmFybmV5LCAxOTkxOyBKZW5zZW4g
JmFtcDsgTWVja2xpbmcsIDIwMTk7IFN1dHJpc25vIGV0IGFsLiwgMjAyNCk8L0Rpc3BsYXlUZXh0
PjxyZWNvcmQ+PHJlYy1udW1iZXI+MTAyMjI8L3JlYy1udW1iZXI+PGZvcmVpZ24ta2V5cz48a2V5
IGFwcD0iRU4iIGRiLWlkPSJ4NWV6ZGF6c2E5enNlcWU1ZXN5NXp3OXd4ZTk1cGF3ZjJlMGQiIHRp
bWVzdGFtcD0iMTc4NDY5MTg3OSI+MTAyMjI8L2tleT48L2ZvcmVpZ24ta2V5cz48cmVmLXR5cGUg
bmFtZT0iSm91cm5hbCBBcnRpY2xlIj4xNzwvcmVmLXR5cGU+PGNvbnRyaWJ1dG9ycz48YXV0aG9y
cz48YXV0aG9yPlN1dHJpc25vLCBTdXRyaXNubzwvYXV0aG9yPjxhdXRob3I+V2lkYXJqb25vLCBB
Z3VzPC9hdXRob3I+PGF1dGhvcj5IYWtpbSwgQWJkdWw8L2F1dGhvcj48L2F1dGhvcnM+PC9jb250
cmlidXRvcnM+PHRpdGxlcz48dGl0bGU+VGhlIHJvbGUgb2YgZ3JlZW4gY3JlZGl0IGluIGJhbmsg
cHJvZml0YWJpbGl0eSBhbmQgc3RhYmlsaXR5OiBhIGNhc2Ugc3R1ZHkgb24gZ3JlZW4gYmFua2lu
ZyBpbiBJbmRvbmVzaWE8L3RpdGxlPjxzZWNvbmRhcnktdGl0bGU+Umlza3M8L3NlY29uZGFyeS10
aXRsZT48L3RpdGxlcz48cGVyaW9kaWNhbD48ZnVsbC10aXRsZT5SaXNrczwvZnVsbC10aXRsZT48
L3BlcmlvZGljYWw+PHBhZ2VzPjE5ODwvcGFnZXM+PHZvbHVtZT4xMjwvdm9sdW1lPjxudW1iZXI+
MTI8L251bWJlcj48ZGF0ZXM+PHllYXI+MjAyNDwveWVhcj48L2RhdGVzPjxpc2JuPjIyMjctOTA5
MTwvaXNibj48dXJscz48L3VybHM+PGVsZWN0cm9uaWMtcmVzb3VyY2UtbnVtPmh0dHBzOi8vZG9p
Lm9yZy8xMC4zMzkwL3Jpc2tzMTIxMjAxOTg8L2VsZWN0cm9uaWMtcmVzb3VyY2UtbnVtPjwvcmVj
b3JkPjwvQ2l0ZT48Q2l0ZT48QXV0aG9yPkJhcm5leTwvQXV0aG9yPjxZZWFyPjE5OTE8L1llYXI+
PFJlY051bT44MDg8L1JlY051bT48cmVjb3JkPjxyZWMtbnVtYmVyPjgwODwvcmVjLW51bWJlcj48
Zm9yZWlnbi1rZXlzPjxrZXkgYXBwPSJFTiIgZGItaWQ9Ing1ZXpkYXpzYTl6c2VxZTVlc3k1enc5
d3hlOTVwYXdmMmUwZCIgdGltZXN0YW1wPSIxNzYwOTQ4MDQzIj44MDg8L2tleT48L2ZvcmVpZ24t
a2V5cz48cmVmLXR5cGUgbmFtZT0iSm91cm5hbCBBcnRpY2xlIj4xNzwvcmVmLXR5cGU+PGNvbnRy
aWJ1dG9ycz48YXV0aG9ycz48YXV0aG9yPkJhcm5leSwgSmF5PC9hdXRob3I+PC9hdXRob3JzPjwv
Y29udHJpYnV0b3JzPjx0aXRsZXM+PHRpdGxlPkZpcm0gcmVzb3VyY2VzIGFuZCBzdXN0YWluZWQg
Y29tcGV0aXRpdmUgYWR2YW50YWdlPC90aXRsZT48c2Vjb25kYXJ5LXRpdGxlPkpvdXJuYWwgb2Yg
bWFuYWdlbWVudDwvc2Vjb25kYXJ5LXRpdGxlPjwvdGl0bGVzPjxwZXJpb2RpY2FsPjxmdWxsLXRp
dGxlPkpvdXJuYWwgb2YgTWFuYWdlbWVudDwvZnVsbC10aXRsZT48L3BlcmlvZGljYWw+PHBhZ2Vz
Pjk5LTEyMDwvcGFnZXM+PHZvbHVtZT4xNzwvdm9sdW1lPjxudW1iZXI+MTwvbnVtYmVyPjxkYXRl
cz48eWVhcj4xOTkxPC95ZWFyPjwvZGF0ZXM+PGlzYm4+MDE0OS0yMDYzPC9pc2JuPjx1cmxzPjwv
dXJscz48ZWxlY3Ryb25pYy1yZXNvdXJjZS1udW0+aHR0cHM6Ly9kb2kub3JnLzEwLjExNzcvMDE0
OTIwNjM5MTAxNzAwMTA4PC9lbGVjdHJvbmljLXJlc291cmNlLW51bT48L3JlY29yZD48L0NpdGU+
PENpdGU+PEF1dGhvcj5KZW5zZW48L0F1dGhvcj48WWVhcj4yMDE5PC9ZZWFyPjxSZWNOdW0+ODEw
PC9SZWNOdW0+PHJlY29yZD48cmVjLW51bWJlcj44MTA8L3JlYy1udW1iZXI+PGZvcmVpZ24ta2V5
cz48a2V5IGFwcD0iRU4iIGRiLWlkPSJ4NWV6ZGF6c2E5enNlcWU1ZXN5NXp3OXd4ZTk1cGF3ZjJl
MGQiIHRpbWVzdGFtcD0iMTc2MDk0ODUwNCI+ODEwPC9rZXk+PC9mb3JlaWduLWtleXM+PHJlZi10
eXBlIG5hbWU9IkJvb2sgU2VjdGlvbiI+NTwvcmVmLXR5cGU+PGNvbnRyaWJ1dG9ycz48YXV0aG9y
cz48YXV0aG9yPkplbnNlbiwgTWljaGFlbCBDPC9hdXRob3I+PGF1dGhvcj5NZWNrbGluZywgV2ls
bGlhbSBIPC9hdXRob3I+PC9hdXRob3JzPjwvY29udHJpYnV0b3JzPjx0aXRsZXM+PHRpdGxlPlRo
ZW9yeSBvZiB0aGUgZmlybTogTWFuYWdlcmlhbCBiZWhhdmlvciwgYWdlbmN5IGNvc3RzIGFuZCBv
d25lcnNoaXAgc3RydWN0dXJlPC90aXRsZT48c2Vjb25kYXJ5LXRpdGxlPkNvcnBvcmF0ZSBnb3Zl
cm5hbmNlPC9zZWNvbmRhcnktdGl0bGU+PC90aXRsZXM+PHBhZ2VzPjc3LTEzMjwvcGFnZXM+PGRh
dGVzPjx5ZWFyPjIwMTk8L3llYXI+PC9kYXRlcz48cHVibGlzaGVyPkdvd2VyPC9wdWJsaXNoZXI+
PHVybHM+PC91cmxzPjxlbGVjdHJvbmljLXJlc291cmNlLW51bT5odHRwczovL2RvaS5vcmcvMTAu
MTAxNi8wMzA0LTQwNXgoNzYpOTAwMjYteDwvZWxlY3Ryb25pYy1yZXNvdXJjZS1udW0+PC9yZWNv
cmQ+PC9DaXRlPjwvRW5kTm90ZT5=
</w:fldData>
        </w:fldChar>
      </w:r>
      <w:r w:rsidR="00A74221" w:rsidRPr="00DD4652">
        <w:rPr>
          <w:rFonts w:eastAsia="Times New Roman"/>
          <w:sz w:val="22"/>
        </w:rPr>
        <w:instrText xml:space="preserve"> ADDIN EN.CITE </w:instrText>
      </w:r>
      <w:r w:rsidR="00A74221" w:rsidRPr="00DD4652">
        <w:rPr>
          <w:rFonts w:eastAsia="Times New Roman"/>
          <w:sz w:val="22"/>
        </w:rPr>
        <w:fldChar w:fldCharType="begin">
          <w:fldData xml:space="preserve">PEVuZE5vdGU+PENpdGU+PEF1dGhvcj5TdXRyaXNubzwvQXV0aG9yPjxZZWFyPjIwMjQ8L1llYXI+
PFJlY051bT4xMDIyMjwvUmVjTnVtPjxEaXNwbGF5VGV4dD4oQmFybmV5LCAxOTkxOyBKZW5zZW4g
JmFtcDsgTWVja2xpbmcsIDIwMTk7IFN1dHJpc25vIGV0IGFsLiwgMjAyNCk8L0Rpc3BsYXlUZXh0
PjxyZWNvcmQ+PHJlYy1udW1iZXI+MTAyMjI8L3JlYy1udW1iZXI+PGZvcmVpZ24ta2V5cz48a2V5
IGFwcD0iRU4iIGRiLWlkPSJ4NWV6ZGF6c2E5enNlcWU1ZXN5NXp3OXd4ZTk1cGF3ZjJlMGQiIHRp
bWVzdGFtcD0iMTc4NDY5MTg3OSI+MTAyMjI8L2tleT48L2ZvcmVpZ24ta2V5cz48cmVmLXR5cGUg
bmFtZT0iSm91cm5hbCBBcnRpY2xlIj4xNzwvcmVmLXR5cGU+PGNvbnRyaWJ1dG9ycz48YXV0aG9y
cz48YXV0aG9yPlN1dHJpc25vLCBTdXRyaXNubzwvYXV0aG9yPjxhdXRob3I+V2lkYXJqb25vLCBB
Z3VzPC9hdXRob3I+PGF1dGhvcj5IYWtpbSwgQWJkdWw8L2F1dGhvcj48L2F1dGhvcnM+PC9jb250
cmlidXRvcnM+PHRpdGxlcz48dGl0bGU+VGhlIHJvbGUgb2YgZ3JlZW4gY3JlZGl0IGluIGJhbmsg
cHJvZml0YWJpbGl0eSBhbmQgc3RhYmlsaXR5OiBhIGNhc2Ugc3R1ZHkgb24gZ3JlZW4gYmFua2lu
ZyBpbiBJbmRvbmVzaWE8L3RpdGxlPjxzZWNvbmRhcnktdGl0bGU+Umlza3M8L3NlY29uZGFyeS10
aXRsZT48L3RpdGxlcz48cGVyaW9kaWNhbD48ZnVsbC10aXRsZT5SaXNrczwvZnVsbC10aXRsZT48
L3BlcmlvZGljYWw+PHBhZ2VzPjE5ODwvcGFnZXM+PHZvbHVtZT4xMjwvdm9sdW1lPjxudW1iZXI+
MTI8L251bWJlcj48ZGF0ZXM+PHllYXI+MjAyNDwveWVhcj48L2RhdGVzPjxpc2JuPjIyMjctOTA5
MTwvaXNibj48dXJscz48L3VybHM+PGVsZWN0cm9uaWMtcmVzb3VyY2UtbnVtPmh0dHBzOi8vZG9p
Lm9yZy8xMC4zMzkwL3Jpc2tzMTIxMjAxOTg8L2VsZWN0cm9uaWMtcmVzb3VyY2UtbnVtPjwvcmVj
b3JkPjwvQ2l0ZT48Q2l0ZT48QXV0aG9yPkJhcm5leTwvQXV0aG9yPjxZZWFyPjE5OTE8L1llYXI+
PFJlY051bT44MDg8L1JlY051bT48cmVjb3JkPjxyZWMtbnVtYmVyPjgwODwvcmVjLW51bWJlcj48
Zm9yZWlnbi1rZXlzPjxrZXkgYXBwPSJFTiIgZGItaWQ9Ing1ZXpkYXpzYTl6c2VxZTVlc3k1enc5
d3hlOTVwYXdmMmUwZCIgdGltZXN0YW1wPSIxNzYwOTQ4MDQzIj44MDg8L2tleT48L2ZvcmVpZ24t
a2V5cz48cmVmLXR5cGUgbmFtZT0iSm91cm5hbCBBcnRpY2xlIj4xNzwvcmVmLXR5cGU+PGNvbnRy
aWJ1dG9ycz48YXV0aG9ycz48YXV0aG9yPkJhcm5leSwgSmF5PC9hdXRob3I+PC9hdXRob3JzPjwv
Y29udHJpYnV0b3JzPjx0aXRsZXM+PHRpdGxlPkZpcm0gcmVzb3VyY2VzIGFuZCBzdXN0YWluZWQg
Y29tcGV0aXRpdmUgYWR2YW50YWdlPC90aXRsZT48c2Vjb25kYXJ5LXRpdGxlPkpvdXJuYWwgb2Yg
bWFuYWdlbWVudDwvc2Vjb25kYXJ5LXRpdGxlPjwvdGl0bGVzPjxwZXJpb2RpY2FsPjxmdWxsLXRp
dGxlPkpvdXJuYWwgb2YgTWFuYWdlbWVudDwvZnVsbC10aXRsZT48L3BlcmlvZGljYWw+PHBhZ2Vz
Pjk5LTEyMDwvcGFnZXM+PHZvbHVtZT4xNzwvdm9sdW1lPjxudW1iZXI+MTwvbnVtYmVyPjxkYXRl
cz48eWVhcj4xOTkxPC95ZWFyPjwvZGF0ZXM+PGlzYm4+MDE0OS0yMDYzPC9pc2JuPjx1cmxzPjwv
dXJscz48ZWxlY3Ryb25pYy1yZXNvdXJjZS1udW0+aHR0cHM6Ly9kb2kub3JnLzEwLjExNzcvMDE0
OTIwNjM5MTAxNzAwMTA4PC9lbGVjdHJvbmljLXJlc291cmNlLW51bT48L3JlY29yZD48L0NpdGU+
PENpdGU+PEF1dGhvcj5KZW5zZW48L0F1dGhvcj48WWVhcj4yMDE5PC9ZZWFyPjxSZWNOdW0+ODEw
PC9SZWNOdW0+PHJlY29yZD48cmVjLW51bWJlcj44MTA8L3JlYy1udW1iZXI+PGZvcmVpZ24ta2V5
cz48a2V5IGFwcD0iRU4iIGRiLWlkPSJ4NWV6ZGF6c2E5enNlcWU1ZXN5NXp3OXd4ZTk1cGF3ZjJl
MGQiIHRpbWVzdGFtcD0iMTc2MDk0ODUwNCI+ODEwPC9rZXk+PC9mb3JlaWduLWtleXM+PHJlZi10
eXBlIG5hbWU9IkJvb2sgU2VjdGlvbiI+NTwvcmVmLXR5cGU+PGNvbnRyaWJ1dG9ycz48YXV0aG9y
cz48YXV0aG9yPkplbnNlbiwgTWljaGFlbCBDPC9hdXRob3I+PGF1dGhvcj5NZWNrbGluZywgV2ls
bGlhbSBIPC9hdXRob3I+PC9hdXRob3JzPjwvY29udHJpYnV0b3JzPjx0aXRsZXM+PHRpdGxlPlRo
ZW9yeSBvZiB0aGUgZmlybTogTWFuYWdlcmlhbCBiZWhhdmlvciwgYWdlbmN5IGNvc3RzIGFuZCBv
d25lcnNoaXAgc3RydWN0dXJlPC90aXRsZT48c2Vjb25kYXJ5LXRpdGxlPkNvcnBvcmF0ZSBnb3Zl
cm5hbmNlPC9zZWNvbmRhcnktdGl0bGU+PC90aXRsZXM+PHBhZ2VzPjc3LTEzMjwvcGFnZXM+PGRh
dGVzPjx5ZWFyPjIwMTk8L3llYXI+PC9kYXRlcz48cHVibGlzaGVyPkdvd2VyPC9wdWJsaXNoZXI+
PHVybHM+PC91cmxzPjxlbGVjdHJvbmljLXJlc291cmNlLW51bT5odHRwczovL2RvaS5vcmcvMTAu
MTAxNi8wMzA0LTQwNXgoNzYpOTAwMjYteDwvZWxlY3Ryb25pYy1yZXNvdXJjZS1udW0+PC9yZWNv
cmQ+PC9DaXRlPjwvRW5kTm90ZT5=
</w:fldData>
        </w:fldChar>
      </w:r>
      <w:r w:rsidR="00A74221" w:rsidRPr="00DD4652">
        <w:rPr>
          <w:rFonts w:eastAsia="Times New Roman"/>
          <w:sz w:val="22"/>
        </w:rPr>
        <w:instrText xml:space="preserve"> ADDIN EN.CITE.DATA </w:instrText>
      </w:r>
      <w:r w:rsidR="00A74221" w:rsidRPr="00DD4652">
        <w:rPr>
          <w:rFonts w:eastAsia="Times New Roman"/>
          <w:sz w:val="22"/>
        </w:rPr>
      </w:r>
      <w:r w:rsidR="00A74221" w:rsidRPr="00DD4652">
        <w:rPr>
          <w:rFonts w:eastAsia="Times New Roman"/>
          <w:sz w:val="22"/>
        </w:rPr>
        <w:fldChar w:fldCharType="end"/>
      </w:r>
      <w:r w:rsidR="000343D7" w:rsidRPr="00DD4652">
        <w:rPr>
          <w:rFonts w:eastAsia="Times New Roman"/>
          <w:sz w:val="22"/>
        </w:rPr>
      </w:r>
      <w:r w:rsidR="000343D7" w:rsidRPr="00DD4652">
        <w:rPr>
          <w:rFonts w:eastAsia="Times New Roman"/>
          <w:sz w:val="22"/>
        </w:rPr>
        <w:fldChar w:fldCharType="separate"/>
      </w:r>
      <w:r w:rsidR="00A74221" w:rsidRPr="00DD4652">
        <w:rPr>
          <w:rFonts w:eastAsia="Times New Roman"/>
          <w:sz w:val="22"/>
        </w:rPr>
        <w:t>(</w:t>
      </w:r>
      <w:hyperlink w:anchor="_ENREF_6" w:tooltip="Barney, 1991 #808" w:history="1">
        <w:r w:rsidR="00A74221" w:rsidRPr="00DD4652">
          <w:rPr>
            <w:rStyle w:val="Hyperlink"/>
            <w:rFonts w:eastAsia="Times New Roman"/>
            <w:sz w:val="22"/>
          </w:rPr>
          <w:t>Barney, 1991</w:t>
        </w:r>
      </w:hyperlink>
      <w:r w:rsidR="00A74221" w:rsidRPr="00DD4652">
        <w:rPr>
          <w:rFonts w:eastAsia="Times New Roman"/>
          <w:sz w:val="22"/>
        </w:rPr>
        <w:t xml:space="preserve">; </w:t>
      </w:r>
      <w:hyperlink w:anchor="_ENREF_19" w:tooltip="Jensen, 2019 #810" w:history="1">
        <w:r w:rsidR="00A74221" w:rsidRPr="00DD4652">
          <w:rPr>
            <w:rStyle w:val="Hyperlink"/>
            <w:rFonts w:eastAsia="Times New Roman"/>
            <w:sz w:val="22"/>
          </w:rPr>
          <w:t>Jensen &amp; Meckling, 2019</w:t>
        </w:r>
      </w:hyperlink>
      <w:r w:rsidR="00A74221" w:rsidRPr="00DD4652">
        <w:rPr>
          <w:rFonts w:eastAsia="Times New Roman"/>
          <w:sz w:val="22"/>
        </w:rPr>
        <w:t xml:space="preserve">; </w:t>
      </w:r>
      <w:hyperlink w:anchor="_ENREF_40" w:tooltip="Sutrisno, 2024 #10222" w:history="1">
        <w:r w:rsidR="00A74221" w:rsidRPr="00DD4652">
          <w:rPr>
            <w:rStyle w:val="Hyperlink"/>
            <w:rFonts w:eastAsia="Times New Roman"/>
            <w:sz w:val="22"/>
          </w:rPr>
          <w:t>Sutrisno et al., 2024</w:t>
        </w:r>
      </w:hyperlink>
      <w:r w:rsidR="00A74221" w:rsidRPr="00DD4652">
        <w:rPr>
          <w:rFonts w:eastAsia="Times New Roman"/>
          <w:sz w:val="22"/>
        </w:rPr>
        <w:t>)</w:t>
      </w:r>
      <w:r w:rsidR="000343D7" w:rsidRPr="00DD4652">
        <w:rPr>
          <w:rFonts w:eastAsia="Times New Roman"/>
          <w:sz w:val="22"/>
        </w:rPr>
        <w:fldChar w:fldCharType="end"/>
      </w:r>
      <w:r w:rsidRPr="00DD4652">
        <w:rPr>
          <w:rFonts w:eastAsia="Times New Roman"/>
          <w:sz w:val="22"/>
        </w:rPr>
        <w:t xml:space="preserve">. Recent empirical evidence from </w:t>
      </w:r>
      <w:hyperlink w:anchor="_ENREF_4" w:tooltip="Arhinful, 2025 #10250" w:history="1">
        <w:r w:rsidR="00C5104E" w:rsidRPr="00DD4652">
          <w:rPr>
            <w:rStyle w:val="Hyperlink"/>
            <w:rFonts w:eastAsia="Times New Roman"/>
            <w:sz w:val="22"/>
          </w:rPr>
          <w:fldChar w:fldCharType="begin"/>
        </w:r>
        <w:r w:rsidR="00C5104E" w:rsidRPr="00DD4652">
          <w:rPr>
            <w:rStyle w:val="Hyperlink"/>
            <w:rFonts w:eastAsia="Times New Roman"/>
            <w:sz w:val="22"/>
          </w:rPr>
          <w:instrText xml:space="preserve"> ADDIN EN.CITE &lt;EndNote&gt;&lt;Cite AuthorYear="1"&gt;&lt;Author&gt;Arhinful&lt;/Author&gt;&lt;Year&gt;2025&lt;/Year&gt;&lt;RecNum&gt;10250&lt;/RecNum&gt;&lt;DisplayText&gt;Arhinful, Mensah, Gyamfi, and Obeng (2025)&lt;/DisplayText&gt;&lt;record&gt;&lt;rec-number&gt;10250&lt;/rec-number&gt;&lt;foreign-keys&gt;&lt;key app="EN" db-id="x5ezdazsa9zseqe5esy5zw9wxe95pawf2e0d" timestamp="1784695544"&gt;10250&lt;/key&gt;&lt;/foreign-keys&gt;&lt;ref-type name="Journal Article"&gt;17&lt;/ref-type&gt;&lt;contributors&gt;&lt;authors&gt;&lt;author&gt;Arhinful, Richard&lt;/author&gt;&lt;author&gt;Mensah, Leviticus&lt;/author&gt;&lt;author&gt;Gyamfi, Bright Akwasi&lt;/author&gt;&lt;author&gt;Obeng, Hayford Asare&lt;/author&gt;&lt;/authors&gt;&lt;/contributors&gt;&lt;titles&gt;&lt;title&gt;The impact of non-performing loans on bank growth: The moderating roles of bank size and capital adequacy ratio evidence from US banks&lt;/title&gt;&lt;secondary-title&gt;International Journal of Financial Studies&lt;/secondary-title&gt;&lt;/titles&gt;&lt;periodical&gt;&lt;full-title&gt;International Journal of Financial Studies&lt;/full-title&gt;&lt;/periodical&gt;&lt;pages&gt;165&lt;/pages&gt;&lt;volume&gt;13&lt;/volume&gt;&lt;number&gt;3&lt;/number&gt;&lt;dates&gt;&lt;year&gt;2025&lt;/year&gt;&lt;/dates&gt;&lt;isbn&gt;2227-7072&lt;/isbn&gt;&lt;urls&gt;&lt;/urls&gt;&lt;electronic-resource-num&gt;https://doi.org/10.3390/ijfs13030165&lt;/electronic-resource-num&gt;&lt;/record&gt;&lt;/Cite&gt;&lt;/EndNote&gt;</w:instrText>
        </w:r>
        <w:r w:rsidR="00C5104E" w:rsidRPr="00DD4652">
          <w:rPr>
            <w:rStyle w:val="Hyperlink"/>
            <w:rFonts w:eastAsia="Times New Roman"/>
            <w:sz w:val="22"/>
          </w:rPr>
          <w:fldChar w:fldCharType="separate"/>
        </w:r>
        <w:r w:rsidR="00C5104E" w:rsidRPr="00DD4652">
          <w:rPr>
            <w:rStyle w:val="Hyperlink"/>
            <w:rFonts w:eastAsia="Times New Roman"/>
            <w:sz w:val="22"/>
          </w:rPr>
          <w:t>Arhinful, Mensah, Gyamfi, and Obeng (2025)</w:t>
        </w:r>
        <w:r w:rsidR="00C5104E" w:rsidRPr="00DD4652">
          <w:rPr>
            <w:rStyle w:val="Hyperlink"/>
            <w:rFonts w:eastAsia="Times New Roman"/>
            <w:sz w:val="22"/>
          </w:rPr>
          <w:fldChar w:fldCharType="end"/>
        </w:r>
      </w:hyperlink>
      <w:r w:rsidRPr="00DD4652">
        <w:rPr>
          <w:rFonts w:eastAsia="Times New Roman"/>
          <w:sz w:val="22"/>
        </w:rPr>
        <w:t xml:space="preserve"> on banks in the United States indicates that bank size significantly moderates the relationship between NPL and bank performance. </w:t>
      </w:r>
      <w:hyperlink w:anchor="_ENREF_8" w:tooltip="Berger, 1997 #10256" w:history="1">
        <w:r w:rsidR="00A72946" w:rsidRPr="00DD4652">
          <w:rPr>
            <w:rStyle w:val="Hyperlink"/>
            <w:rFonts w:eastAsia="Times New Roman"/>
            <w:sz w:val="22"/>
          </w:rPr>
          <w:fldChar w:fldCharType="begin"/>
        </w:r>
        <w:r w:rsidR="00A72946" w:rsidRPr="00DD4652">
          <w:rPr>
            <w:rStyle w:val="Hyperlink"/>
            <w:rFonts w:eastAsia="Times New Roman"/>
            <w:sz w:val="22"/>
          </w:rPr>
          <w:instrText xml:space="preserve"> ADDIN EN.CITE &lt;EndNote&gt;&lt;Cite AuthorYear="1"&gt;&lt;Author&gt;Berger&lt;/Author&gt;&lt;Year&gt;1997&lt;/Year&gt;&lt;RecNum&gt;10256&lt;/RecNum&gt;&lt;DisplayText&gt;Berger and DeYoung (1997)&lt;/DisplayText&gt;&lt;record&gt;&lt;rec-number&gt;10256&lt;/rec-number&gt;&lt;foreign-keys&gt;&lt;key app="EN" db-id="x5ezdazsa9zseqe5esy5zw9wxe95pawf2e0d" timestamp="1784700433"&gt;10256&lt;/key&gt;&lt;/foreign-keys&gt;&lt;ref-type name="Journal Article"&gt;17&lt;/ref-type&gt;&lt;contributors&gt;&lt;authors&gt;&lt;author&gt;Berger, Allen N&lt;/author&gt;&lt;author&gt;DeYoung, Robert&lt;/author&gt;&lt;/authors&gt;&lt;/contributors&gt;&lt;titles&gt;&lt;title&gt;Problem loans and cost efficiency in commercial banks&lt;/title&gt;&lt;secondary-title&gt;Journal of banking &amp;amp; finance&lt;/secondary-title&gt;&lt;/titles&gt;&lt;periodical&gt;&lt;full-title&gt;Journal of Banking &amp;amp; finance&lt;/full-title&gt;&lt;/periodical&gt;&lt;pages&gt;849-870&lt;/pages&gt;&lt;volume&gt;21&lt;/volume&gt;&lt;number&gt;6&lt;/number&gt;&lt;dates&gt;&lt;year&gt;1997&lt;/year&gt;&lt;/dates&gt;&lt;isbn&gt;0378-4266&lt;/isbn&gt;&lt;urls&gt;&lt;/urls&gt;&lt;electronic-resource-num&gt;https://doi.org/10.1016/S0378-4266(97)00003-4&lt;/electronic-resource-num&gt;&lt;/record&gt;&lt;/Cite&gt;&lt;/EndNote&gt;</w:instrText>
        </w:r>
        <w:r w:rsidR="00A72946" w:rsidRPr="00DD4652">
          <w:rPr>
            <w:rStyle w:val="Hyperlink"/>
            <w:rFonts w:eastAsia="Times New Roman"/>
            <w:sz w:val="22"/>
          </w:rPr>
          <w:fldChar w:fldCharType="separate"/>
        </w:r>
        <w:r w:rsidR="00A72946" w:rsidRPr="00DD4652">
          <w:rPr>
            <w:rStyle w:val="Hyperlink"/>
            <w:rFonts w:eastAsia="Times New Roman"/>
            <w:sz w:val="22"/>
          </w:rPr>
          <w:t>Berger and DeYoung (1997)</w:t>
        </w:r>
        <w:r w:rsidR="00A72946" w:rsidRPr="00DD4652">
          <w:rPr>
            <w:rStyle w:val="Hyperlink"/>
            <w:rFonts w:eastAsia="Times New Roman"/>
            <w:sz w:val="22"/>
          </w:rPr>
          <w:fldChar w:fldCharType="end"/>
        </w:r>
      </w:hyperlink>
      <w:r w:rsidR="00A72946" w:rsidRPr="00DD4652">
        <w:rPr>
          <w:rFonts w:eastAsia="Times New Roman"/>
          <w:sz w:val="22"/>
        </w:rPr>
        <w:t xml:space="preserve"> </w:t>
      </w:r>
      <w:r w:rsidR="005A0F9F" w:rsidRPr="00DD4652">
        <w:rPr>
          <w:rFonts w:eastAsia="Times New Roman"/>
          <w:sz w:val="22"/>
        </w:rPr>
        <w:t xml:space="preserve">demonstrate that larger banks generally exhibit higher cost efficiency due to scale economies </w:t>
      </w:r>
      <w:r w:rsidR="005A0F9F" w:rsidRPr="00DD4652">
        <w:rPr>
          <w:rFonts w:eastAsia="Times New Roman"/>
          <w:sz w:val="22"/>
        </w:rPr>
        <w:lastRenderedPageBreak/>
        <w:t xml:space="preserve">and superior diversification, while </w:t>
      </w:r>
      <w:hyperlink w:anchor="_ENREF_35" w:tooltip="Saif-Alyousfi, 2022 #10227" w:history="1">
        <w:r w:rsidR="007A39C9" w:rsidRPr="00DD4652">
          <w:rPr>
            <w:rStyle w:val="Hyperlink"/>
            <w:rFonts w:eastAsia="Times New Roman"/>
            <w:sz w:val="22"/>
          </w:rPr>
          <w:fldChar w:fldCharType="begin"/>
        </w:r>
        <w:r w:rsidR="007A39C9" w:rsidRPr="00DD4652">
          <w:rPr>
            <w:rStyle w:val="Hyperlink"/>
            <w:rFonts w:eastAsia="Times New Roman"/>
            <w:sz w:val="22"/>
          </w:rPr>
          <w:instrText xml:space="preserve"> ADDIN EN.CITE &lt;EndNote&gt;&lt;Cite AuthorYear="1"&gt;&lt;Author&gt;Saif-Alyousfi&lt;/Author&gt;&lt;Year&gt;2022&lt;/Year&gt;&lt;RecNum&gt;10227&lt;/RecNum&gt;&lt;DisplayText&gt;Saif-Alyousfi (2022)&lt;/DisplayText&gt;&lt;record&gt;&lt;rec-number&gt;10227&lt;/rec-number&gt;&lt;foreign-keys&gt;&lt;key app="EN" db-id="x5ezdazsa9zseqe5esy5zw9wxe95pawf2e0d" timestamp="1784692637"&gt;10227&lt;/key&gt;&lt;/foreign-keys&gt;&lt;ref-type name="Journal Article"&gt;17&lt;/ref-type&gt;&lt;contributors&gt;&lt;authors&gt;&lt;author&gt;Saif-Alyousfi, Abdulazeez YH&lt;/author&gt;&lt;/authors&gt;&lt;/contributors&gt;&lt;titles&gt;&lt;title&gt;Determinants of bank profitability: Evidence from 47 Asian countries&lt;/title&gt;&lt;secondary-title&gt;Journal of Economic Studies&lt;/secondary-title&gt;&lt;/titles&gt;&lt;periodical&gt;&lt;full-title&gt;Journal of Economic studies&lt;/full-title&gt;&lt;/periodical&gt;&lt;pages&gt;44-60&lt;/pages&gt;&lt;volume&gt;49&lt;/volume&gt;&lt;number&gt;1&lt;/number&gt;&lt;dates&gt;&lt;year&gt;2022&lt;/year&gt;&lt;/dates&gt;&lt;isbn&gt;0144-3585&lt;/isbn&gt;&lt;urls&gt;&lt;/urls&gt;&lt;electronic-resource-num&gt;https://doi.org/10.1108/JES-05-2020-0215&lt;/electronic-resource-num&gt;&lt;/record&gt;&lt;/Cite&gt;&lt;/EndNote&gt;</w:instrText>
        </w:r>
        <w:r w:rsidR="007A39C9" w:rsidRPr="00DD4652">
          <w:rPr>
            <w:rStyle w:val="Hyperlink"/>
            <w:rFonts w:eastAsia="Times New Roman"/>
            <w:sz w:val="22"/>
          </w:rPr>
          <w:fldChar w:fldCharType="separate"/>
        </w:r>
        <w:r w:rsidR="007A39C9" w:rsidRPr="00DD4652">
          <w:rPr>
            <w:rStyle w:val="Hyperlink"/>
            <w:rFonts w:eastAsia="Times New Roman"/>
            <w:sz w:val="22"/>
          </w:rPr>
          <w:t>Saif-Alyousfi (2022)</w:t>
        </w:r>
        <w:r w:rsidR="007A39C9" w:rsidRPr="00DD4652">
          <w:rPr>
            <w:rStyle w:val="Hyperlink"/>
            <w:rFonts w:eastAsia="Times New Roman"/>
            <w:sz w:val="22"/>
          </w:rPr>
          <w:fldChar w:fldCharType="end"/>
        </w:r>
      </w:hyperlink>
      <w:r w:rsidR="005A0F9F" w:rsidRPr="00DD4652">
        <w:rPr>
          <w:rFonts w:eastAsia="Times New Roman"/>
          <w:sz w:val="22"/>
        </w:rPr>
        <w:t xml:space="preserve"> finds in a study of emerging-market banks that asset size is a key determinant of profitability dispersion across the banking </w:t>
      </w:r>
      <w:proofErr w:type="spellStart"/>
      <w:r w:rsidR="005A0F9F" w:rsidRPr="00DD4652">
        <w:rPr>
          <w:rFonts w:eastAsia="Times New Roman"/>
          <w:sz w:val="22"/>
        </w:rPr>
        <w:t>sector</w:t>
      </w:r>
      <w:r w:rsidRPr="00DD4652">
        <w:rPr>
          <w:rFonts w:eastAsia="Times New Roman"/>
          <w:sz w:val="22"/>
        </w:rPr>
        <w:t>Natural</w:t>
      </w:r>
      <w:proofErr w:type="spellEnd"/>
      <w:r w:rsidRPr="00DD4652">
        <w:rPr>
          <w:rFonts w:eastAsia="Times New Roman"/>
          <w:sz w:val="22"/>
        </w:rPr>
        <w:t>-logarithm transformation is used to address the extreme skewness in the distribution of total assets, given that KBMI 4 banks have total assets hundreds of times larger than those of KBMI 1 banks. The bank-size measurement formula is as follows:</w:t>
      </w:r>
    </w:p>
    <w:p w14:paraId="5CFB2AEF" w14:textId="77777777" w:rsidR="00C81172" w:rsidRPr="00DD4652" w:rsidRDefault="00C81172" w:rsidP="0034022B">
      <w:pPr>
        <w:spacing w:line="240" w:lineRule="auto"/>
        <w:ind w:firstLine="540"/>
        <w:jc w:val="both"/>
        <w:rPr>
          <w:rFonts w:eastAsia="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C81172" w:rsidRPr="00DD4652" w14:paraId="477B253D" w14:textId="77777777" w:rsidTr="001D3EB4">
        <w:tc>
          <w:tcPr>
            <w:tcW w:w="8327" w:type="dxa"/>
          </w:tcPr>
          <w:p w14:paraId="4A4F5D74" w14:textId="700C6AC3" w:rsidR="00C81172" w:rsidRPr="00DD4652" w:rsidRDefault="00C81172" w:rsidP="001D3EB4">
            <w:pPr>
              <w:spacing w:line="240" w:lineRule="auto"/>
              <w:jc w:val="both"/>
              <w:rPr>
                <w:rFonts w:eastAsia="Times New Roman"/>
                <w:sz w:val="22"/>
              </w:rPr>
            </w:pPr>
            <m:oMathPara>
              <m:oMath>
                <m:r>
                  <w:rPr>
                    <w:rFonts w:ascii="Cambria Math" w:eastAsia="Times New Roman" w:hAnsi="Cambria Math"/>
                    <w:sz w:val="22"/>
                  </w:rPr>
                  <m:t>SIZE = Ln (Total Assets)</m:t>
                </m:r>
              </m:oMath>
            </m:oMathPara>
          </w:p>
        </w:tc>
        <w:tc>
          <w:tcPr>
            <w:tcW w:w="461" w:type="dxa"/>
          </w:tcPr>
          <w:p w14:paraId="61C11623" w14:textId="7885FF2F" w:rsidR="00C81172" w:rsidRPr="00DD4652" w:rsidRDefault="00C81172" w:rsidP="001D3EB4">
            <w:pPr>
              <w:spacing w:line="240" w:lineRule="auto"/>
              <w:jc w:val="right"/>
              <w:rPr>
                <w:rFonts w:eastAsia="Times New Roman"/>
                <w:sz w:val="22"/>
              </w:rPr>
            </w:pPr>
            <w:r w:rsidRPr="00DD4652">
              <w:rPr>
                <w:rFonts w:eastAsia="Times New Roman"/>
                <w:sz w:val="22"/>
              </w:rPr>
              <w:t>(4)</w:t>
            </w:r>
          </w:p>
        </w:tc>
      </w:tr>
    </w:tbl>
    <w:p w14:paraId="3FAB7093" w14:textId="77777777" w:rsidR="00686399" w:rsidRDefault="00686399" w:rsidP="00C81172">
      <w:pPr>
        <w:spacing w:line="240" w:lineRule="auto"/>
        <w:ind w:firstLine="540"/>
        <w:jc w:val="both"/>
        <w:rPr>
          <w:sz w:val="22"/>
        </w:rPr>
      </w:pPr>
    </w:p>
    <w:p w14:paraId="5BD98205" w14:textId="1CFD6229" w:rsidR="006E6027" w:rsidRPr="00DD4652" w:rsidRDefault="00C81172" w:rsidP="00C81172">
      <w:pPr>
        <w:spacing w:line="240" w:lineRule="auto"/>
        <w:ind w:firstLine="540"/>
        <w:jc w:val="both"/>
        <w:rPr>
          <w:sz w:val="22"/>
        </w:rPr>
      </w:pPr>
      <w:r w:rsidRPr="00DD4652">
        <w:rPr>
          <w:sz w:val="22"/>
        </w:rPr>
        <w:t>Formula 4 shows SIZE represents the scale of the bank, Ln refers to the natural logarithm transformation, and Total Assets represent the total resources owned and controlled by the bank during the observation period. The use of logarithmic transformation is commonly applied in banking research to provide a more comparable measurement of bank size across institutions with different asset scales. This variable is further examined as a moderating variable to determine whether bank scale influences the relationship between green credit, non-performing loans, and bank profitability.</w:t>
      </w:r>
    </w:p>
    <w:p w14:paraId="52BF2D72" w14:textId="77777777" w:rsidR="00C81172" w:rsidRPr="00DD4652" w:rsidRDefault="00C81172" w:rsidP="00917C19">
      <w:pPr>
        <w:spacing w:line="240" w:lineRule="auto"/>
        <w:rPr>
          <w:b/>
          <w:bCs/>
          <w:sz w:val="22"/>
        </w:rPr>
      </w:pPr>
    </w:p>
    <w:p w14:paraId="053BAE4F" w14:textId="32E14261" w:rsidR="002A62CD" w:rsidRPr="00DD4652" w:rsidRDefault="002A62CD" w:rsidP="007A6562">
      <w:pPr>
        <w:pStyle w:val="ListParagraph"/>
        <w:numPr>
          <w:ilvl w:val="1"/>
          <w:numId w:val="1"/>
        </w:numPr>
        <w:spacing w:line="240" w:lineRule="auto"/>
        <w:ind w:left="540" w:hanging="540"/>
        <w:rPr>
          <w:sz w:val="22"/>
        </w:rPr>
      </w:pPr>
      <w:r w:rsidRPr="00DD4652">
        <w:rPr>
          <w:rFonts w:eastAsia="Times New Roman"/>
          <w:b/>
          <w:bCs/>
          <w:sz w:val="22"/>
        </w:rPr>
        <w:t>Synthesis of Previous Research and Research Gap</w:t>
      </w:r>
    </w:p>
    <w:p w14:paraId="5F5A8633" w14:textId="37B45ACF" w:rsidR="002A62CD" w:rsidRPr="00DD4652" w:rsidRDefault="002A62CD" w:rsidP="007A6562">
      <w:pPr>
        <w:spacing w:line="240" w:lineRule="auto"/>
        <w:ind w:firstLine="540"/>
        <w:jc w:val="both"/>
        <w:rPr>
          <w:rFonts w:eastAsia="Times New Roman"/>
          <w:sz w:val="22"/>
        </w:rPr>
      </w:pPr>
      <w:r w:rsidRPr="00DD4652">
        <w:rPr>
          <w:rFonts w:eastAsia="Times New Roman"/>
          <w:sz w:val="22"/>
        </w:rPr>
        <w:t>The synthesis of previous research indicates three research gaps that justify this study. First, the inconsistency of empirical findings regarding the effect of green credit on bank profitability. The group of studies finding a positive effect includes</w:t>
      </w:r>
      <w:r w:rsidR="003A0861" w:rsidRPr="00DD4652">
        <w:rPr>
          <w:rFonts w:eastAsia="Times New Roman"/>
          <w:sz w:val="22"/>
        </w:rPr>
        <w:t xml:space="preserve"> </w:t>
      </w:r>
      <w:hyperlink w:anchor="_ENREF_24" w:tooltip="Lian, 2022 #10235" w:history="1">
        <w:r w:rsidR="003A0861" w:rsidRPr="00DD4652">
          <w:rPr>
            <w:rStyle w:val="Hyperlink"/>
            <w:rFonts w:eastAsia="Times New Roman"/>
            <w:sz w:val="22"/>
          </w:rPr>
          <w:fldChar w:fldCharType="begin"/>
        </w:r>
        <w:r w:rsidR="003A0861" w:rsidRPr="00DD4652">
          <w:rPr>
            <w:rStyle w:val="Hyperlink"/>
            <w:rFonts w:eastAsia="Times New Roman"/>
            <w:sz w:val="22"/>
          </w:rPr>
          <w:instrText xml:space="preserve"> ADDIN EN.CITE &lt;EndNote&gt;&lt;Cite AuthorYear="1"&gt;&lt;Author&gt;Lian&lt;/Author&gt;&lt;Year&gt;2022&lt;/Year&gt;&lt;RecNum&gt;10235&lt;/RecNum&gt;&lt;DisplayText&gt;Lian et al. (2022)&lt;/DisplayText&gt;&lt;record&gt;&lt;rec-number&gt;10235&lt;/rec-number&gt;&lt;foreign-keys&gt;&lt;key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3A0861" w:rsidRPr="00DD4652">
          <w:rPr>
            <w:rStyle w:val="Hyperlink"/>
            <w:rFonts w:eastAsia="Times New Roman"/>
            <w:sz w:val="22"/>
          </w:rPr>
          <w:fldChar w:fldCharType="separate"/>
        </w:r>
        <w:r w:rsidR="003A0861" w:rsidRPr="00DD4652">
          <w:rPr>
            <w:rStyle w:val="Hyperlink"/>
            <w:rFonts w:eastAsia="Times New Roman"/>
            <w:sz w:val="22"/>
          </w:rPr>
          <w:t>Lian et al. (2022)</w:t>
        </w:r>
        <w:r w:rsidR="003A0861" w:rsidRPr="00DD4652">
          <w:rPr>
            <w:rStyle w:val="Hyperlink"/>
            <w:rFonts w:eastAsia="Times New Roman"/>
            <w:sz w:val="22"/>
          </w:rPr>
          <w:fldChar w:fldCharType="end"/>
        </w:r>
      </w:hyperlink>
      <w:r w:rsidR="002B297C" w:rsidRPr="00DD4652">
        <w:rPr>
          <w:rFonts w:eastAsia="Times New Roman"/>
          <w:color w:val="000000"/>
          <w:sz w:val="22"/>
        </w:rPr>
        <w:t xml:space="preserve">, </w:t>
      </w:r>
      <w:hyperlink w:anchor="_ENREF_26" w:tooltip="Mirza, 2023 #10233" w:history="1">
        <w:r w:rsidR="00D9332F" w:rsidRPr="00DD4652">
          <w:rPr>
            <w:rStyle w:val="Hyperlink"/>
            <w:rFonts w:eastAsia="Times New Roman"/>
            <w:sz w:val="22"/>
          </w:rPr>
          <w:fldChar w:fldCharType="begin"/>
        </w:r>
        <w:r w:rsidR="00D9332F" w:rsidRPr="00DD4652">
          <w:rPr>
            <w:rStyle w:val="Hyperlink"/>
            <w:rFonts w:eastAsia="Times New Roman"/>
            <w:sz w:val="22"/>
          </w:rPr>
          <w:instrText xml:space="preserve"> ADDIN EN.CITE &lt;EndNote&gt;&lt;Cite AuthorYear="1"&gt;&lt;Author&gt;Mirza&lt;/Author&gt;&lt;Year&gt;2023&lt;/Year&gt;&lt;RecNum&gt;10233&lt;/RecNum&gt;&lt;DisplayText&gt;Mirza et al.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EndNote&gt;</w:instrText>
        </w:r>
        <w:r w:rsidR="00D9332F" w:rsidRPr="00DD4652">
          <w:rPr>
            <w:rStyle w:val="Hyperlink"/>
            <w:rFonts w:eastAsia="Times New Roman"/>
            <w:sz w:val="22"/>
          </w:rPr>
          <w:fldChar w:fldCharType="separate"/>
        </w:r>
        <w:r w:rsidR="00D9332F" w:rsidRPr="00DD4652">
          <w:rPr>
            <w:rStyle w:val="Hyperlink"/>
            <w:rFonts w:eastAsia="Times New Roman"/>
            <w:sz w:val="22"/>
          </w:rPr>
          <w:t>Mirza et al. (2023)</w:t>
        </w:r>
        <w:r w:rsidR="00D9332F" w:rsidRPr="00DD4652">
          <w:rPr>
            <w:rStyle w:val="Hyperlink"/>
            <w:rFonts w:eastAsia="Times New Roman"/>
            <w:sz w:val="22"/>
          </w:rPr>
          <w:fldChar w:fldCharType="end"/>
        </w:r>
      </w:hyperlink>
      <w:r w:rsidRPr="00DD4652">
        <w:rPr>
          <w:rFonts w:eastAsia="Times New Roman"/>
          <w:sz w:val="22"/>
        </w:rPr>
        <w:t>, and</w:t>
      </w:r>
      <w:r w:rsidR="000343D7" w:rsidRPr="00DD4652">
        <w:rPr>
          <w:rFonts w:eastAsia="Times New Roman"/>
          <w:color w:val="000000"/>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whereas the group reporting a negative effect includes</w:t>
      </w:r>
      <w:r w:rsidR="00440AD8" w:rsidRPr="00DD4652">
        <w:rPr>
          <w:rFonts w:eastAsia="Times New Roman"/>
          <w:color w:val="000000"/>
          <w:sz w:val="22"/>
        </w:rPr>
        <w:t xml:space="preserve"> </w:t>
      </w:r>
      <w:hyperlink w:anchor="_ENREF_2" w:tooltip="Andaiyani, 2023 #10240" w:history="1">
        <w:r w:rsidR="00440AD8" w:rsidRPr="00DD4652">
          <w:rPr>
            <w:rStyle w:val="Hyperlink"/>
            <w:rFonts w:eastAsia="Times New Roman"/>
            <w:sz w:val="22"/>
          </w:rPr>
          <w:fldChar w:fldCharType="begin"/>
        </w:r>
        <w:r w:rsidR="00440AD8" w:rsidRPr="00DD4652">
          <w:rPr>
            <w:rStyle w:val="Hyperlink"/>
            <w:rFonts w:eastAsia="Times New Roman"/>
            <w:sz w:val="22"/>
          </w:rPr>
          <w:instrText xml:space="preserve"> ADDIN EN.CITE &lt;EndNote&gt;&lt;Cite AuthorYear="1"&gt;&lt;Author&gt;Andaiyani&lt;/Author&gt;&lt;Year&gt;2023&lt;/Year&gt;&lt;RecNum&gt;10240&lt;/RecNum&gt;&lt;DisplayText&gt;Andaiyani et al. (2023)&lt;/DisplayText&gt;&lt;record&gt;&lt;rec-number&gt;10240&lt;/rec-number&gt;&lt;foreign-keys&gt;&lt;key app="EN" db-id="x5ezdazsa9zseqe5esy5zw9wxe95pawf2e0d" timestamp="1784694161"&gt;10240&lt;/key&gt;&lt;/foreign-keys&gt;&lt;ref-type name="Journal Article"&gt;17&lt;/ref-type&gt;&lt;contributors&gt;&lt;authors&gt;&lt;author&gt;Andaiyani, Sri&lt;/author&gt;&lt;author&gt;Muthia, Fida&lt;/author&gt;&lt;author&gt;Novriansa, Agil&lt;/author&gt;&lt;/authors&gt;&lt;/contributors&gt;&lt;titles&gt;&lt;title&gt;Green credit and bank performance in Indonesia&lt;/title&gt;&lt;secondary-title&gt;Diponegoro International Journal of Business&lt;/secondary-title&gt;&lt;/titles&gt;&lt;periodical&gt;&lt;full-title&gt;Diponegoro International Journal of Business&lt;/full-title&gt;&lt;/periodical&gt;&lt;pages&gt;50-56&lt;/pages&gt;&lt;volume&gt;6&lt;/volume&gt;&lt;number&gt;1&lt;/number&gt;&lt;dates&gt;&lt;year&gt;2023&lt;/year&gt;&lt;/dates&gt;&lt;isbn&gt;2580-4995&lt;/isbn&gt;&lt;urls&gt;&lt;/urls&gt;&lt;electronic-resource-num&gt;https://doi.org/10.14710/dijb.6.1.2023.50-56&lt;/electronic-resource-num&gt;&lt;/record&gt;&lt;/Cite&gt;&lt;/EndNote&gt;</w:instrText>
        </w:r>
        <w:r w:rsidR="00440AD8" w:rsidRPr="00DD4652">
          <w:rPr>
            <w:rStyle w:val="Hyperlink"/>
            <w:rFonts w:eastAsia="Times New Roman"/>
            <w:sz w:val="22"/>
          </w:rPr>
          <w:fldChar w:fldCharType="separate"/>
        </w:r>
        <w:r w:rsidR="00440AD8" w:rsidRPr="00DD4652">
          <w:rPr>
            <w:rStyle w:val="Hyperlink"/>
            <w:rFonts w:eastAsia="Times New Roman"/>
            <w:sz w:val="22"/>
          </w:rPr>
          <w:t>Andaiyani et al. (2023)</w:t>
        </w:r>
        <w:r w:rsidR="00440AD8" w:rsidRPr="00DD4652">
          <w:rPr>
            <w:rStyle w:val="Hyperlink"/>
            <w:rFonts w:eastAsia="Times New Roman"/>
            <w:sz w:val="22"/>
          </w:rPr>
          <w:fldChar w:fldCharType="end"/>
        </w:r>
      </w:hyperlink>
      <w:r w:rsidRPr="00DD4652">
        <w:rPr>
          <w:rFonts w:eastAsia="Times New Roman"/>
          <w:sz w:val="22"/>
        </w:rPr>
        <w:t xml:space="preserve">, </w:t>
      </w:r>
      <w:hyperlink w:anchor="_ENREF_15" w:tooltip="Galan, 2024 #10252" w:history="1">
        <w:r w:rsidR="00A05E81" w:rsidRPr="00DD4652">
          <w:rPr>
            <w:rStyle w:val="Hyperlink"/>
            <w:rFonts w:eastAsia="Times New Roman"/>
            <w:sz w:val="22"/>
          </w:rPr>
          <w:fldChar w:fldCharType="begin"/>
        </w:r>
        <w:r w:rsidR="00A05E81" w:rsidRPr="00DD4652">
          <w:rPr>
            <w:rStyle w:val="Hyperlink"/>
            <w:rFonts w:eastAsia="Times New Roman"/>
            <w:sz w:val="22"/>
          </w:rPr>
          <w:instrText xml:space="preserve"> ADDIN EN.CITE &lt;EndNote&gt;&lt;Cite AuthorYear="1"&gt;&lt;Author&gt;Galan&lt;/Author&gt;&lt;Year&gt;2024&lt;/Year&gt;&lt;RecNum&gt;10252&lt;/RecNum&gt;&lt;DisplayText&gt;Galan and Tan (2024)&lt;/DisplayText&gt;&lt;record&gt;&lt;rec-number&gt;10252&lt;/rec-number&gt;&lt;foreign-keys&gt;&lt;key app="EN" db-id="x5ezdazsa9zseqe5esy5zw9wxe95pawf2e0d" timestamp="1784695869"&gt;10252&lt;/key&gt;&lt;/foreign-keys&gt;&lt;ref-type name="Journal Article"&gt;17&lt;/ref-type&gt;&lt;contributors&gt;&lt;authors&gt;&lt;author&gt;Galan, Jorge E&lt;/author&gt;&lt;author&gt;Tan, Yong&lt;/author&gt;&lt;/authors&gt;&lt;/contributors&gt;&lt;titles&gt;&lt;title&gt;Green light for green credit? Evidence from its impact on bank efficiency&lt;/title&gt;&lt;secondary-title&gt;International Journal of Finance &amp;amp; Economics&lt;/secondary-title&gt;&lt;/titles&gt;&lt;periodical&gt;&lt;full-title&gt;International Journal of Finance &amp;amp; Economics&lt;/full-title&gt;&lt;/periodical&gt;&lt;pages&gt;531-550&lt;/pages&gt;&lt;volume&gt;29&lt;/volume&gt;&lt;number&gt;1&lt;/number&gt;&lt;dates&gt;&lt;year&gt;2024&lt;/year&gt;&lt;/dates&gt;&lt;isbn&gt;1076-9307&lt;/isbn&gt;&lt;urls&gt;&lt;/urls&gt;&lt;electronic-resource-num&gt;https://doi.org/10.1002/ijfe.2697&lt;/electronic-resource-num&gt;&lt;/record&gt;&lt;/Cite&gt;&lt;/EndNote&gt;</w:instrText>
        </w:r>
        <w:r w:rsidR="00A05E81" w:rsidRPr="00DD4652">
          <w:rPr>
            <w:rStyle w:val="Hyperlink"/>
            <w:rFonts w:eastAsia="Times New Roman"/>
            <w:sz w:val="22"/>
          </w:rPr>
          <w:fldChar w:fldCharType="separate"/>
        </w:r>
        <w:r w:rsidR="00A05E81" w:rsidRPr="00DD4652">
          <w:rPr>
            <w:rStyle w:val="Hyperlink"/>
            <w:rFonts w:eastAsia="Times New Roman"/>
            <w:sz w:val="22"/>
          </w:rPr>
          <w:t>Galan and Tan (2024)</w:t>
        </w:r>
        <w:r w:rsidR="00A05E81" w:rsidRPr="00DD4652">
          <w:rPr>
            <w:rStyle w:val="Hyperlink"/>
            <w:rFonts w:eastAsia="Times New Roman"/>
            <w:sz w:val="22"/>
          </w:rPr>
          <w:fldChar w:fldCharType="end"/>
        </w:r>
      </w:hyperlink>
      <w:r w:rsidRPr="00DD4652">
        <w:rPr>
          <w:rFonts w:eastAsia="Times New Roman"/>
          <w:sz w:val="22"/>
        </w:rPr>
        <w:t xml:space="preserve">, </w:t>
      </w:r>
      <w:hyperlink w:anchor="_ENREF_42" w:tooltip="Wu, 2024 #10249" w:history="1">
        <w:r w:rsidR="00391B30" w:rsidRPr="00DD4652">
          <w:rPr>
            <w:rStyle w:val="Hyperlink"/>
            <w:rFonts w:eastAsia="Times New Roman"/>
            <w:sz w:val="22"/>
          </w:rPr>
          <w:fldChar w:fldCharType="begin"/>
        </w:r>
        <w:r w:rsidR="00391B30" w:rsidRPr="00DD4652">
          <w:rPr>
            <w:rStyle w:val="Hyperlink"/>
            <w:rFonts w:eastAsia="Times New Roman"/>
            <w:sz w:val="22"/>
          </w:rPr>
          <w:instrText xml:space="preserve"> ADDIN EN.CITE &lt;EndNote&gt;&lt;Cite AuthorYear="1"&gt;&lt;Author&gt;Wu&lt;/Author&gt;&lt;Year&gt;2024&lt;/Year&gt;&lt;RecNum&gt;10249&lt;/RecNum&gt;&lt;DisplayText&gt;Wu and Zhou (2024)&lt;/DisplayText&gt;&lt;record&gt;&lt;rec-number&gt;10249&lt;/rec-number&gt;&lt;foreign-keys&gt;&lt;key app="EN" db-id="x5ezdazsa9zseqe5esy5zw9wxe95pawf2e0d" timestamp="1784695313"&gt;10249&lt;/key&gt;&lt;/foreign-keys&gt;&lt;ref-type name="Journal Article"&gt;17&lt;/ref-type&gt;&lt;contributors&gt;&lt;authors&gt;&lt;author&gt;Wu, Sheng&lt;/author&gt;&lt;author&gt;Zhou, Xiaoyong&lt;/author&gt;&lt;/authors&gt;&lt;/contributors&gt;&lt;titles&gt;&lt;title&gt;A theoretical framework for modeling dual-track granting orientation in green credit policy&lt;/title&gt;&lt;secondary-title&gt;Economic Analysis and Policy&lt;/secondary-title&gt;&lt;/titles&gt;&lt;periodical&gt;&lt;full-title&gt;Economic Analysis and Policy&lt;/full-title&gt;&lt;/periodical&gt;&lt;pages&gt;249-268&lt;/pages&gt;&lt;volume&gt;81&lt;/volume&gt;&lt;dates&gt;&lt;year&gt;2024&lt;/year&gt;&lt;/dates&gt;&lt;isbn&gt;0313-5926&lt;/isbn&gt;&lt;urls&gt;&lt;/urls&gt;&lt;electronic-resource-num&gt;https://doi.org/10.1016/j.eap.2023.11.035&lt;/electronic-resource-num&gt;&lt;/record&gt;&lt;/Cite&gt;&lt;/EndNote&gt;</w:instrText>
        </w:r>
        <w:r w:rsidR="00391B30" w:rsidRPr="00DD4652">
          <w:rPr>
            <w:rStyle w:val="Hyperlink"/>
            <w:rFonts w:eastAsia="Times New Roman"/>
            <w:sz w:val="22"/>
          </w:rPr>
          <w:fldChar w:fldCharType="separate"/>
        </w:r>
        <w:r w:rsidR="00391B30" w:rsidRPr="00DD4652">
          <w:rPr>
            <w:rStyle w:val="Hyperlink"/>
            <w:rFonts w:eastAsia="Times New Roman"/>
            <w:sz w:val="22"/>
          </w:rPr>
          <w:t>Wu and Zhou (2024)</w:t>
        </w:r>
        <w:r w:rsidR="00391B30" w:rsidRPr="00DD4652">
          <w:rPr>
            <w:rStyle w:val="Hyperlink"/>
            <w:rFonts w:eastAsia="Times New Roman"/>
            <w:sz w:val="22"/>
          </w:rPr>
          <w:fldChar w:fldCharType="end"/>
        </w:r>
      </w:hyperlink>
      <w:r w:rsidRPr="00DD4652">
        <w:rPr>
          <w:rFonts w:eastAsia="Times New Roman"/>
          <w:sz w:val="22"/>
        </w:rPr>
        <w:t>, and</w:t>
      </w:r>
      <w:r w:rsidR="000D41A4" w:rsidRPr="00DD4652">
        <w:rPr>
          <w:rFonts w:eastAsia="Times New Roman"/>
          <w:color w:val="000000"/>
          <w:sz w:val="22"/>
        </w:rPr>
        <w:t xml:space="preserve"> </w:t>
      </w:r>
      <w:hyperlink w:anchor="_ENREF_34" w:tooltip="Riyanti, 2025 #10228" w:history="1">
        <w:r w:rsidR="000D41A4" w:rsidRPr="00DD4652">
          <w:rPr>
            <w:rStyle w:val="Hyperlink"/>
            <w:rFonts w:eastAsia="Times New Roman"/>
            <w:sz w:val="22"/>
          </w:rPr>
          <w:fldChar w:fldCharType="begin"/>
        </w:r>
        <w:r w:rsidR="000D41A4" w:rsidRPr="00DD4652">
          <w:rPr>
            <w:rStyle w:val="Hyperlink"/>
            <w:rFonts w:eastAsia="Times New Roman"/>
            <w:sz w:val="22"/>
          </w:rPr>
          <w:instrText xml:space="preserve"> ADDIN EN.CITE &lt;EndNote&gt;&lt;Cite AuthorYear="1"&gt;&lt;Author&gt;Riyanti&lt;/Author&gt;&lt;Year&gt;2025&lt;/Year&gt;&lt;RecNum&gt;10228&lt;/RecNum&gt;&lt;DisplayText&gt;Riyanti et al. (2025)&lt;/DisplayText&gt;&lt;record&gt;&lt;rec-number&gt;10228&lt;/rec-number&gt;&lt;foreign-keys&gt;&lt;key app="EN" db-id="x5ezdazsa9zseqe5esy5zw9wxe95pawf2e0d" timestamp="1784692704"&gt;10228&lt;/key&gt;&lt;/foreign-keys&gt;&lt;ref-type name="Journal Article"&gt;17&lt;/ref-type&gt;&lt;contributors&gt;&lt;authors&gt;&lt;author&gt;Riyanti, Ririen Setiati&lt;/author&gt;&lt;author&gt;Wulandari, Permata&lt;/author&gt;&lt;author&gt;Prijadi, Ruslan&lt;/author&gt;&lt;author&gt;Tortosa-Ausina, Emili&lt;/author&gt;&lt;/authors&gt;&lt;/contributors&gt;&lt;titles&gt;&lt;title&gt;Green loans: Navigating the path to sustainable profitability in banking&lt;/title&gt;&lt;secondary-title&gt;Economic Analysis and Policy&lt;/secondary-title&gt;&lt;/titles&gt;&lt;periodical&gt;&lt;full-title&gt;Economic Analysis and Policy&lt;/full-title&gt;&lt;/periodical&gt;&lt;pages&gt;1613-1624&lt;/pages&gt;&lt;volume&gt;85&lt;/volume&gt;&lt;dates&gt;&lt;year&gt;2025&lt;/year&gt;&lt;/dates&gt;&lt;isbn&gt;0313-5926&lt;/isbn&gt;&lt;urls&gt;&lt;/urls&gt;&lt;electronic-resource-num&gt;https://doi.org/10.1016/j.eap.2025.01.028&lt;/electronic-resource-num&gt;&lt;/record&gt;&lt;/Cite&gt;&lt;/EndNote&gt;</w:instrText>
        </w:r>
        <w:r w:rsidR="000D41A4" w:rsidRPr="00DD4652">
          <w:rPr>
            <w:rStyle w:val="Hyperlink"/>
            <w:rFonts w:eastAsia="Times New Roman"/>
            <w:sz w:val="22"/>
          </w:rPr>
          <w:fldChar w:fldCharType="separate"/>
        </w:r>
        <w:r w:rsidR="000D41A4" w:rsidRPr="00DD4652">
          <w:rPr>
            <w:rStyle w:val="Hyperlink"/>
            <w:rFonts w:eastAsia="Times New Roman"/>
            <w:sz w:val="22"/>
          </w:rPr>
          <w:t>Riyanti et al. (2025)</w:t>
        </w:r>
        <w:r w:rsidR="000D41A4" w:rsidRPr="00DD4652">
          <w:rPr>
            <w:rStyle w:val="Hyperlink"/>
            <w:rFonts w:eastAsia="Times New Roman"/>
            <w:sz w:val="22"/>
          </w:rPr>
          <w:fldChar w:fldCharType="end"/>
        </w:r>
      </w:hyperlink>
      <w:r w:rsidRPr="00DD4652">
        <w:rPr>
          <w:rFonts w:eastAsia="Times New Roman"/>
          <w:sz w:val="22"/>
        </w:rPr>
        <w:t xml:space="preserve">. Even in a meta-analysis covering 28 empirical relationships, </w:t>
      </w:r>
      <w:hyperlink w:anchor="_ENREF_27" w:tooltip="Muchiri, 2025 #10260" w:history="1">
        <w:r w:rsidR="00B16A52" w:rsidRPr="00DD4652">
          <w:rPr>
            <w:rStyle w:val="Hyperlink"/>
            <w:rFonts w:eastAsia="Times New Roman"/>
            <w:sz w:val="22"/>
          </w:rPr>
          <w:fldChar w:fldCharType="begin"/>
        </w:r>
        <w:r w:rsidR="00B16A52" w:rsidRPr="00DD4652">
          <w:rPr>
            <w:rStyle w:val="Hyperlink"/>
            <w:rFonts w:eastAsia="Times New Roman"/>
            <w:sz w:val="22"/>
          </w:rPr>
          <w:instrText xml:space="preserve"> ADDIN EN.CITE &lt;EndNote&gt;&lt;Cite AuthorYear="1"&gt;&lt;Author&gt;Muchiri&lt;/Author&gt;&lt;Year&gt;2025&lt;/Year&gt;&lt;RecNum&gt;10260&lt;/RecNum&gt;&lt;DisplayText&gt;Muchiri, Fekete-Farkas, and Erdei-Gally (2025)&lt;/DisplayText&gt;&lt;record&gt;&lt;rec-number&gt;10260&lt;/rec-number&gt;&lt;foreign-keys&gt;&lt;key app="EN" db-id="x5ezdazsa9zseqe5esy5zw9wxe95pawf2e0d" timestamp="1784701037"&gt;10260&lt;/key&gt;&lt;/foreign-keys&gt;&lt;ref-type name="Journal Article"&gt;17&lt;/ref-type&gt;&lt;contributors&gt;&lt;authors&gt;&lt;author&gt;Muchiri, Martin Kamau&lt;/author&gt;&lt;author&gt;Fekete-Farkas, Maria&lt;/author&gt;&lt;author&gt;Erdei-Gally, Szilvia Kesmarki&lt;/author&gt;&lt;/authors&gt;&lt;/contributors&gt;&lt;titles&gt;&lt;title&gt;How do green banking practices impact banks’ profitability? A meta-analysis&lt;/title&gt;&lt;secondary-title&gt;Journal of Risk and Financial Management&lt;/secondary-title&gt;&lt;/titles&gt;&lt;periodical&gt;&lt;full-title&gt;Journal of Risk and Financial Management&lt;/full-title&gt;&lt;/periodical&gt;&lt;pages&gt;320&lt;/pages&gt;&lt;volume&gt;18&lt;/volume&gt;&lt;number&gt;6&lt;/number&gt;&lt;dates&gt;&lt;year&gt;2025&lt;/year&gt;&lt;/dates&gt;&lt;isbn&gt;1911-8074&lt;/isbn&gt;&lt;urls&gt;&lt;/urls&gt;&lt;electronic-resource-num&gt;https://doi.org/10.3390/jrfm18060320&lt;/electronic-resource-num&gt;&lt;/record&gt;&lt;/Cite&gt;&lt;/EndNote&gt;</w:instrText>
        </w:r>
        <w:r w:rsidR="00B16A52" w:rsidRPr="00DD4652">
          <w:rPr>
            <w:rStyle w:val="Hyperlink"/>
            <w:rFonts w:eastAsia="Times New Roman"/>
            <w:sz w:val="22"/>
          </w:rPr>
          <w:fldChar w:fldCharType="separate"/>
        </w:r>
        <w:r w:rsidR="00B16A52" w:rsidRPr="00DD4652">
          <w:rPr>
            <w:rStyle w:val="Hyperlink"/>
            <w:rFonts w:eastAsia="Times New Roman"/>
            <w:sz w:val="22"/>
          </w:rPr>
          <w:t>Muchiri, Fekete-Farkas, and Erdei-Gally (2025)</w:t>
        </w:r>
        <w:r w:rsidR="00B16A52" w:rsidRPr="00DD4652">
          <w:rPr>
            <w:rStyle w:val="Hyperlink"/>
            <w:rFonts w:eastAsia="Times New Roman"/>
            <w:sz w:val="22"/>
          </w:rPr>
          <w:fldChar w:fldCharType="end"/>
        </w:r>
      </w:hyperlink>
      <w:r w:rsidR="00B16A52" w:rsidRPr="00DD4652">
        <w:rPr>
          <w:rFonts w:eastAsia="Times New Roman"/>
          <w:sz w:val="22"/>
        </w:rPr>
        <w:t xml:space="preserve"> </w:t>
      </w:r>
      <w:r w:rsidRPr="00DD4652">
        <w:rPr>
          <w:rFonts w:eastAsia="Times New Roman"/>
          <w:sz w:val="22"/>
        </w:rPr>
        <w:t xml:space="preserve">conclude that the relationship between green banking and profitability is heterogeneous and statistically inconclusive. Second, previous research tends to test green credit separately from fundamental banking variables, so that it has not yet integrated the sustainability dimension and the credit-risk dimension into a single coherent empirical framework. Third, the role of bank size has more often been treated as a control variable rather than as a moderator. In fact, </w:t>
      </w:r>
      <w:hyperlink w:anchor="_ENREF_27" w:tooltip="Muchiri, 2025 #10260" w:history="1">
        <w:r w:rsidR="00B16A52" w:rsidRPr="00DD4652">
          <w:rPr>
            <w:rStyle w:val="Hyperlink"/>
            <w:rFonts w:eastAsia="Times New Roman"/>
            <w:sz w:val="22"/>
          </w:rPr>
          <w:fldChar w:fldCharType="begin"/>
        </w:r>
        <w:r w:rsidR="00B16A52" w:rsidRPr="00DD4652">
          <w:rPr>
            <w:rStyle w:val="Hyperlink"/>
            <w:rFonts w:eastAsia="Times New Roman"/>
            <w:sz w:val="22"/>
          </w:rPr>
          <w:instrText xml:space="preserve"> ADDIN EN.CITE &lt;EndNote&gt;&lt;Cite AuthorYear="1"&gt;&lt;Author&gt;Muchiri&lt;/Author&gt;&lt;Year&gt;2025&lt;/Year&gt;&lt;RecNum&gt;10260&lt;/RecNum&gt;&lt;DisplayText&gt;Muchiri et al. (2025)&lt;/DisplayText&gt;&lt;record&gt;&lt;rec-number&gt;10260&lt;/rec-number&gt;&lt;foreign-keys&gt;&lt;key app="EN" db-id="x5ezdazsa9zseqe5esy5zw9wxe95pawf2e0d" timestamp="1784701037"&gt;10260&lt;/key&gt;&lt;/foreign-keys&gt;&lt;ref-type name="Journal Article"&gt;17&lt;/ref-type&gt;&lt;contributors&gt;&lt;authors&gt;&lt;author&gt;Muchiri, Martin Kamau&lt;/author&gt;&lt;author&gt;Fekete-Farkas, Maria&lt;/author&gt;&lt;author&gt;Erdei-Gally, Szilvia Kesmarki&lt;/author&gt;&lt;/authors&gt;&lt;/contributors&gt;&lt;titles&gt;&lt;title&gt;How do green banking practices impact banks’ profitability? A meta-analysis&lt;/title&gt;&lt;secondary-title&gt;Journal of Risk and Financial Management&lt;/secondary-title&gt;&lt;/titles&gt;&lt;periodical&gt;&lt;full-title&gt;Journal of Risk and Financial Management&lt;/full-title&gt;&lt;/periodical&gt;&lt;pages&gt;320&lt;/pages&gt;&lt;volume&gt;18&lt;/volume&gt;&lt;number&gt;6&lt;/number&gt;&lt;dates&gt;&lt;year&gt;2025&lt;/year&gt;&lt;/dates&gt;&lt;isbn&gt;1911-8074&lt;/isbn&gt;&lt;urls&gt;&lt;/urls&gt;&lt;electronic-resource-num&gt;https://doi.org/10.3390/jrfm18060320&lt;/electronic-resource-num&gt;&lt;/record&gt;&lt;/Cite&gt;&lt;/EndNote&gt;</w:instrText>
        </w:r>
        <w:r w:rsidR="00B16A52" w:rsidRPr="00DD4652">
          <w:rPr>
            <w:rStyle w:val="Hyperlink"/>
            <w:rFonts w:eastAsia="Times New Roman"/>
            <w:sz w:val="22"/>
          </w:rPr>
          <w:fldChar w:fldCharType="separate"/>
        </w:r>
        <w:r w:rsidR="00B16A52" w:rsidRPr="00DD4652">
          <w:rPr>
            <w:rStyle w:val="Hyperlink"/>
            <w:rFonts w:eastAsia="Times New Roman"/>
            <w:sz w:val="22"/>
          </w:rPr>
          <w:t>Muchiri et al. (2025)</w:t>
        </w:r>
        <w:r w:rsidR="00B16A52" w:rsidRPr="00DD4652">
          <w:rPr>
            <w:rStyle w:val="Hyperlink"/>
            <w:rFonts w:eastAsia="Times New Roman"/>
            <w:sz w:val="22"/>
          </w:rPr>
          <w:fldChar w:fldCharType="end"/>
        </w:r>
      </w:hyperlink>
      <w:r w:rsidR="00B16A52" w:rsidRPr="00DD4652">
        <w:rPr>
          <w:rFonts w:eastAsia="Times New Roman"/>
          <w:sz w:val="22"/>
        </w:rPr>
        <w:t xml:space="preserve"> </w:t>
      </w:r>
      <w:r w:rsidRPr="00DD4652">
        <w:rPr>
          <w:rFonts w:eastAsia="Times New Roman"/>
          <w:sz w:val="22"/>
        </w:rPr>
        <w:t xml:space="preserve">and </w:t>
      </w:r>
      <w:hyperlink w:anchor="_ENREF_4" w:tooltip="Arhinful, 2025 #10250" w:history="1">
        <w:r w:rsidR="00526A80" w:rsidRPr="00DD4652">
          <w:rPr>
            <w:rStyle w:val="Hyperlink"/>
            <w:rFonts w:eastAsia="Times New Roman"/>
            <w:sz w:val="22"/>
          </w:rPr>
          <w:fldChar w:fldCharType="begin"/>
        </w:r>
        <w:r w:rsidR="00526A80" w:rsidRPr="00DD4652">
          <w:rPr>
            <w:rStyle w:val="Hyperlink"/>
            <w:rFonts w:eastAsia="Times New Roman"/>
            <w:sz w:val="22"/>
          </w:rPr>
          <w:instrText xml:space="preserve"> ADDIN EN.CITE &lt;EndNote&gt;&lt;Cite AuthorYear="1"&gt;&lt;Author&gt;Arhinful&lt;/Author&gt;&lt;Year&gt;2025&lt;/Year&gt;&lt;RecNum&gt;10250&lt;/RecNum&gt;&lt;DisplayText&gt;Arhinful et al. (2025)&lt;/DisplayText&gt;&lt;record&gt;&lt;rec-number&gt;10250&lt;/rec-number&gt;&lt;foreign-keys&gt;&lt;key app="EN" db-id="x5ezdazsa9zseqe5esy5zw9wxe95pawf2e0d" timestamp="1784695544"&gt;10250&lt;/key&gt;&lt;/foreign-keys&gt;&lt;ref-type name="Journal Article"&gt;17&lt;/ref-type&gt;&lt;contributors&gt;&lt;authors&gt;&lt;author&gt;Arhinful, Richard&lt;/author&gt;&lt;author&gt;Mensah, Leviticus&lt;/author&gt;&lt;author&gt;Gyamfi, Bright Akwasi&lt;/author&gt;&lt;author&gt;Obeng, Hayford Asare&lt;/author&gt;&lt;/authors&gt;&lt;/contributors&gt;&lt;titles&gt;&lt;title&gt;The impact of non-performing loans on bank growth: The moderating roles of bank size and capital adequacy ratio evidence from US banks&lt;/title&gt;&lt;secondary-title&gt;International Journal of Financial Studies&lt;/secondary-title&gt;&lt;/titles&gt;&lt;periodical&gt;&lt;full-title&gt;International Journal of Financial Studies&lt;/full-title&gt;&lt;/periodical&gt;&lt;pages&gt;165&lt;/pages&gt;&lt;volume&gt;13&lt;/volume&gt;&lt;number&gt;3&lt;/number&gt;&lt;dates&gt;&lt;year&gt;2025&lt;/year&gt;&lt;/dates&gt;&lt;isbn&gt;2227-7072&lt;/isbn&gt;&lt;urls&gt;&lt;/urls&gt;&lt;electronic-resource-num&gt;https://doi.org/10.3390/ijfs13030165&lt;/electronic-resource-num&gt;&lt;/record&gt;&lt;/Cite&gt;&lt;/EndNote&gt;</w:instrText>
        </w:r>
        <w:r w:rsidR="00526A80" w:rsidRPr="00DD4652">
          <w:rPr>
            <w:rStyle w:val="Hyperlink"/>
            <w:rFonts w:eastAsia="Times New Roman"/>
            <w:sz w:val="22"/>
          </w:rPr>
          <w:fldChar w:fldCharType="separate"/>
        </w:r>
        <w:r w:rsidR="00526A80" w:rsidRPr="00DD4652">
          <w:rPr>
            <w:rStyle w:val="Hyperlink"/>
            <w:rFonts w:eastAsia="Times New Roman"/>
            <w:sz w:val="22"/>
          </w:rPr>
          <w:t>Arhinful et al. (2025)</w:t>
        </w:r>
        <w:r w:rsidR="00526A80" w:rsidRPr="00DD4652">
          <w:rPr>
            <w:rStyle w:val="Hyperlink"/>
            <w:rFonts w:eastAsia="Times New Roman"/>
            <w:sz w:val="22"/>
          </w:rPr>
          <w:fldChar w:fldCharType="end"/>
        </w:r>
      </w:hyperlink>
      <w:r w:rsidRPr="00DD4652">
        <w:rPr>
          <w:rFonts w:eastAsia="Times New Roman"/>
          <w:sz w:val="22"/>
        </w:rPr>
        <w:t xml:space="preserve"> explicitly demonstrate that institutional size modifies the direction and strength of the ESG</w:t>
      </w:r>
      <w:r w:rsidR="00B3266D">
        <w:rPr>
          <w:rFonts w:eastAsia="Times New Roman"/>
          <w:sz w:val="22"/>
        </w:rPr>
        <w:t>-</w:t>
      </w:r>
      <w:r w:rsidRPr="00DD4652">
        <w:rPr>
          <w:rFonts w:eastAsia="Times New Roman"/>
          <w:sz w:val="22"/>
        </w:rPr>
        <w:t>profitability and NPL</w:t>
      </w:r>
      <w:r w:rsidR="00B3266D">
        <w:rPr>
          <w:rFonts w:eastAsia="Times New Roman"/>
          <w:sz w:val="22"/>
        </w:rPr>
        <w:t>-</w:t>
      </w:r>
      <w:r w:rsidRPr="00DD4652">
        <w:rPr>
          <w:rFonts w:eastAsia="Times New Roman"/>
          <w:sz w:val="22"/>
        </w:rPr>
        <w:t>profitability relationships. This study contributes to filling these three gaps simultaneously by formalizing bank size as a moderator of the green credit</w:t>
      </w:r>
      <w:r w:rsidR="00B3266D">
        <w:rPr>
          <w:rFonts w:eastAsia="Times New Roman"/>
          <w:sz w:val="22"/>
        </w:rPr>
        <w:t>-</w:t>
      </w:r>
      <w:r w:rsidRPr="00DD4652">
        <w:rPr>
          <w:rFonts w:eastAsia="Times New Roman"/>
          <w:sz w:val="22"/>
        </w:rPr>
        <w:t>ROA and NPL</w:t>
      </w:r>
      <w:r w:rsidR="00B3266D">
        <w:rPr>
          <w:rFonts w:eastAsia="Times New Roman"/>
          <w:sz w:val="22"/>
        </w:rPr>
        <w:t>-</w:t>
      </w:r>
      <w:r w:rsidRPr="00DD4652">
        <w:rPr>
          <w:rFonts w:eastAsia="Times New Roman"/>
          <w:sz w:val="22"/>
        </w:rPr>
        <w:t>ROA relationships in the post-pandemic Indonesian banking context.</w:t>
      </w:r>
    </w:p>
    <w:p w14:paraId="1250BDC3" w14:textId="77777777" w:rsidR="006E6027" w:rsidRPr="00DD4652" w:rsidRDefault="006E6027" w:rsidP="00917C19">
      <w:pPr>
        <w:spacing w:line="240" w:lineRule="auto"/>
        <w:ind w:firstLine="720"/>
        <w:jc w:val="both"/>
        <w:rPr>
          <w:rFonts w:eastAsia="Times New Roman"/>
          <w:sz w:val="22"/>
        </w:rPr>
      </w:pPr>
    </w:p>
    <w:p w14:paraId="191BF34D" w14:textId="31DAC8A5" w:rsidR="006E6027" w:rsidRPr="00DD4652" w:rsidRDefault="006E6027" w:rsidP="00917C19">
      <w:pPr>
        <w:spacing w:line="240" w:lineRule="auto"/>
        <w:ind w:firstLine="720"/>
        <w:jc w:val="center"/>
        <w:rPr>
          <w:rFonts w:eastAsia="Times New Roman"/>
          <w:sz w:val="22"/>
        </w:rPr>
      </w:pPr>
      <w:r w:rsidRPr="00DD4652">
        <w:rPr>
          <w:rFonts w:eastAsia="Times New Roman"/>
          <w:noProof/>
          <w:sz w:val="22"/>
        </w:rPr>
        <w:drawing>
          <wp:inline distT="0" distB="0" distL="0" distR="0" wp14:anchorId="13FDFFDC" wp14:editId="490E5546">
            <wp:extent cx="3876675" cy="1913634"/>
            <wp:effectExtent l="0" t="0" r="0" b="0"/>
            <wp:docPr id="1210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7632" cy="1923979"/>
                    </a:xfrm>
                    <a:prstGeom prst="rect">
                      <a:avLst/>
                    </a:prstGeom>
                    <a:noFill/>
                    <a:ln>
                      <a:noFill/>
                    </a:ln>
                  </pic:spPr>
                </pic:pic>
              </a:graphicData>
            </a:graphic>
          </wp:inline>
        </w:drawing>
      </w:r>
    </w:p>
    <w:p w14:paraId="34657DC9" w14:textId="202A7C8E" w:rsidR="006E6027" w:rsidRPr="00DD4652" w:rsidRDefault="006E6027" w:rsidP="00917C19">
      <w:pPr>
        <w:spacing w:line="240" w:lineRule="auto"/>
        <w:ind w:firstLine="720"/>
        <w:jc w:val="center"/>
        <w:rPr>
          <w:rFonts w:eastAsia="Times New Roman"/>
          <w:sz w:val="22"/>
        </w:rPr>
      </w:pPr>
      <w:r w:rsidRPr="00DD4652">
        <w:rPr>
          <w:rFonts w:eastAsia="Times New Roman"/>
          <w:sz w:val="22"/>
        </w:rPr>
        <w:t xml:space="preserve">Figure 1. Conceptual framework </w:t>
      </w:r>
    </w:p>
    <w:p w14:paraId="69CF24A0" w14:textId="77777777" w:rsidR="00C81172" w:rsidRPr="00DD4652" w:rsidRDefault="00C81172" w:rsidP="00C81172">
      <w:pPr>
        <w:spacing w:line="240" w:lineRule="auto"/>
        <w:jc w:val="both"/>
        <w:rPr>
          <w:rFonts w:eastAsia="Times New Roman"/>
          <w:b/>
          <w:bCs/>
          <w:sz w:val="22"/>
        </w:rPr>
      </w:pPr>
    </w:p>
    <w:p w14:paraId="335526CC" w14:textId="57AB22D2" w:rsidR="00C81172" w:rsidRPr="00DD4652" w:rsidRDefault="00C81172" w:rsidP="0078625C">
      <w:pPr>
        <w:spacing w:line="240" w:lineRule="auto"/>
        <w:ind w:firstLine="540"/>
        <w:jc w:val="both"/>
        <w:rPr>
          <w:rFonts w:eastAsia="Times New Roman"/>
          <w:sz w:val="22"/>
        </w:rPr>
      </w:pPr>
      <w:r w:rsidRPr="00DD4652">
        <w:rPr>
          <w:rFonts w:eastAsia="Times New Roman"/>
          <w:sz w:val="22"/>
        </w:rPr>
        <w:t xml:space="preserve">Figure </w:t>
      </w:r>
      <w:r w:rsidR="0078625C" w:rsidRPr="00DD4652">
        <w:rPr>
          <w:rFonts w:eastAsia="Times New Roman"/>
          <w:sz w:val="22"/>
        </w:rPr>
        <w:t>1</w:t>
      </w:r>
      <w:r w:rsidRPr="00DD4652">
        <w:rPr>
          <w:rFonts w:eastAsia="Times New Roman"/>
          <w:sz w:val="22"/>
        </w:rPr>
        <w:t xml:space="preserve"> </w:t>
      </w:r>
      <w:r w:rsidR="0078625C" w:rsidRPr="00DD4652">
        <w:rPr>
          <w:rFonts w:eastAsia="Times New Roman"/>
          <w:sz w:val="22"/>
        </w:rPr>
        <w:t>shows</w:t>
      </w:r>
      <w:r w:rsidRPr="00DD4652">
        <w:rPr>
          <w:rFonts w:eastAsia="Times New Roman"/>
          <w:sz w:val="22"/>
        </w:rPr>
        <w:t xml:space="preserve"> the research framework illustrating the direct effects of </w:t>
      </w:r>
      <w:r w:rsidR="0078625C" w:rsidRPr="00DD4652">
        <w:rPr>
          <w:rFonts w:eastAsia="Times New Roman"/>
          <w:sz w:val="22"/>
        </w:rPr>
        <w:t xml:space="preserve">Green Credit </w:t>
      </w:r>
      <w:r w:rsidRPr="00DD4652">
        <w:rPr>
          <w:rFonts w:eastAsia="Times New Roman"/>
          <w:sz w:val="22"/>
        </w:rPr>
        <w:t xml:space="preserve">(GCR) and </w:t>
      </w:r>
      <w:r w:rsidR="0078625C" w:rsidRPr="00DD4652">
        <w:rPr>
          <w:rFonts w:eastAsia="Times New Roman"/>
          <w:sz w:val="22"/>
        </w:rPr>
        <w:t xml:space="preserve">Non-Performing Loans </w:t>
      </w:r>
      <w:r w:rsidRPr="00DD4652">
        <w:rPr>
          <w:rFonts w:eastAsia="Times New Roman"/>
          <w:sz w:val="22"/>
        </w:rPr>
        <w:t xml:space="preserve">(NPL) on </w:t>
      </w:r>
      <w:r w:rsidR="0078625C" w:rsidRPr="00DD4652">
        <w:rPr>
          <w:rFonts w:eastAsia="Times New Roman"/>
          <w:sz w:val="22"/>
        </w:rPr>
        <w:t>P</w:t>
      </w:r>
      <w:r w:rsidRPr="00DD4652">
        <w:rPr>
          <w:rFonts w:eastAsia="Times New Roman"/>
          <w:sz w:val="22"/>
        </w:rPr>
        <w:t xml:space="preserve">rofitability (ROA), with </w:t>
      </w:r>
      <w:r w:rsidR="0078625C" w:rsidRPr="00DD4652">
        <w:rPr>
          <w:rFonts w:eastAsia="Times New Roman"/>
          <w:sz w:val="22"/>
        </w:rPr>
        <w:t>Bank Size (</w:t>
      </w:r>
      <w:r w:rsidR="00B3266D" w:rsidRPr="00DD4652">
        <w:rPr>
          <w:rFonts w:eastAsia="Times New Roman"/>
          <w:sz w:val="22"/>
        </w:rPr>
        <w:t>Firm size</w:t>
      </w:r>
      <w:r w:rsidRPr="00DD4652">
        <w:rPr>
          <w:rFonts w:eastAsia="Times New Roman"/>
          <w:sz w:val="22"/>
        </w:rPr>
        <w:t>) as a moderating variable in both relationships.</w:t>
      </w:r>
    </w:p>
    <w:p w14:paraId="2476E3A6" w14:textId="77777777" w:rsidR="00ED3332" w:rsidRPr="00DD4652" w:rsidRDefault="00ED3332" w:rsidP="0034022B">
      <w:pPr>
        <w:spacing w:line="240" w:lineRule="auto"/>
        <w:jc w:val="both"/>
        <w:rPr>
          <w:rFonts w:eastAsia="Times New Roman"/>
          <w:sz w:val="22"/>
        </w:rPr>
      </w:pPr>
    </w:p>
    <w:p w14:paraId="2EDB3CC7" w14:textId="643168C9" w:rsidR="002A62CD" w:rsidRPr="00DD4652" w:rsidRDefault="002A62CD" w:rsidP="007A6562">
      <w:pPr>
        <w:pStyle w:val="ListParagraph"/>
        <w:numPr>
          <w:ilvl w:val="1"/>
          <w:numId w:val="1"/>
        </w:numPr>
        <w:spacing w:line="240" w:lineRule="auto"/>
        <w:ind w:left="540" w:hanging="540"/>
        <w:rPr>
          <w:sz w:val="22"/>
        </w:rPr>
      </w:pPr>
      <w:r w:rsidRPr="00DD4652">
        <w:rPr>
          <w:rFonts w:eastAsia="Times New Roman"/>
          <w:b/>
          <w:bCs/>
          <w:sz w:val="22"/>
        </w:rPr>
        <w:t>Hypothesis Development</w:t>
      </w:r>
    </w:p>
    <w:p w14:paraId="2A57D81F" w14:textId="698179C7" w:rsidR="0078625C" w:rsidRPr="00DD4652" w:rsidRDefault="002A62CD" w:rsidP="0078625C">
      <w:pPr>
        <w:pStyle w:val="ListParagraph"/>
        <w:numPr>
          <w:ilvl w:val="2"/>
          <w:numId w:val="1"/>
        </w:numPr>
        <w:spacing w:line="240" w:lineRule="auto"/>
        <w:ind w:left="540" w:hanging="540"/>
        <w:jc w:val="both"/>
        <w:rPr>
          <w:rFonts w:eastAsia="Times New Roman"/>
          <w:sz w:val="22"/>
        </w:rPr>
      </w:pPr>
      <w:r w:rsidRPr="00DD4652">
        <w:rPr>
          <w:rFonts w:eastAsia="Times New Roman"/>
          <w:sz w:val="22"/>
        </w:rPr>
        <w:t>The Effect of Green Credit on Profitability</w:t>
      </w:r>
    </w:p>
    <w:p w14:paraId="2BB76780" w14:textId="1D1F3983" w:rsidR="002A62CD" w:rsidRPr="00DD4652" w:rsidRDefault="00B3266D" w:rsidP="0078625C">
      <w:pPr>
        <w:spacing w:line="240" w:lineRule="auto"/>
        <w:ind w:firstLine="540"/>
        <w:jc w:val="both"/>
        <w:rPr>
          <w:rFonts w:eastAsia="Times New Roman"/>
          <w:sz w:val="22"/>
        </w:rPr>
      </w:pPr>
      <w:r w:rsidRPr="00DD4652">
        <w:rPr>
          <w:rFonts w:eastAsia="Times New Roman"/>
          <w:sz w:val="22"/>
        </w:rPr>
        <w:t>Signaling</w:t>
      </w:r>
      <w:r w:rsidR="002A62CD" w:rsidRPr="00DD4652">
        <w:rPr>
          <w:rFonts w:eastAsia="Times New Roman"/>
          <w:sz w:val="22"/>
        </w:rPr>
        <w:t xml:space="preserve"> </w:t>
      </w:r>
      <w:r w:rsidR="0078625C" w:rsidRPr="00DD4652">
        <w:rPr>
          <w:rFonts w:eastAsia="Times New Roman"/>
          <w:sz w:val="22"/>
        </w:rPr>
        <w:t>t</w:t>
      </w:r>
      <w:r w:rsidR="002A62CD" w:rsidRPr="00DD4652">
        <w:rPr>
          <w:rFonts w:eastAsia="Times New Roman"/>
          <w:sz w:val="22"/>
        </w:rPr>
        <w:t xml:space="preserve">heory predicts that green credit functions as a credible signal regarding the quality of bank management to the market, which lowers the cost of capital and strengthens reputation, </w:t>
      </w:r>
      <w:r w:rsidR="002A62CD" w:rsidRPr="00DD4652">
        <w:rPr>
          <w:rFonts w:eastAsia="Times New Roman"/>
          <w:sz w:val="22"/>
        </w:rPr>
        <w:lastRenderedPageBreak/>
        <w:t>thereby increasing profitability.</w:t>
      </w:r>
      <w:r w:rsidR="003A0861" w:rsidRPr="00DD4652">
        <w:rPr>
          <w:rFonts w:eastAsia="Times New Roman"/>
          <w:color w:val="000000"/>
          <w:sz w:val="22"/>
        </w:rPr>
        <w:t xml:space="preserve"> </w:t>
      </w:r>
      <w:hyperlink w:anchor="_ENREF_24" w:tooltip="Lian, 2022 #10235" w:history="1">
        <w:r w:rsidR="003A0861" w:rsidRPr="00DD4652">
          <w:rPr>
            <w:rStyle w:val="Hyperlink"/>
            <w:rFonts w:eastAsia="Times New Roman"/>
            <w:sz w:val="22"/>
          </w:rPr>
          <w:fldChar w:fldCharType="begin"/>
        </w:r>
        <w:r w:rsidR="003A0861" w:rsidRPr="00DD4652">
          <w:rPr>
            <w:rStyle w:val="Hyperlink"/>
            <w:rFonts w:eastAsia="Times New Roman"/>
            <w:sz w:val="22"/>
          </w:rPr>
          <w:instrText xml:space="preserve"> ADDIN EN.CITE &lt;EndNote&gt;&lt;Cite AuthorYear="1"&gt;&lt;Author&gt;Lian&lt;/Author&gt;&lt;Year&gt;2022&lt;/Year&gt;&lt;RecNum&gt;10235&lt;/RecNum&gt;&lt;DisplayText&gt;Lian et al. (2022)&lt;/DisplayText&gt;&lt;record&gt;&lt;rec-number&gt;10235&lt;/rec-number&gt;&lt;foreign-keys&gt;&lt;key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3A0861" w:rsidRPr="00DD4652">
          <w:rPr>
            <w:rStyle w:val="Hyperlink"/>
            <w:rFonts w:eastAsia="Times New Roman"/>
            <w:sz w:val="22"/>
          </w:rPr>
          <w:fldChar w:fldCharType="separate"/>
        </w:r>
        <w:r w:rsidR="003A0861" w:rsidRPr="00DD4652">
          <w:rPr>
            <w:rStyle w:val="Hyperlink"/>
            <w:rFonts w:eastAsia="Times New Roman"/>
            <w:sz w:val="22"/>
          </w:rPr>
          <w:t>Lian et al. (2022)</w:t>
        </w:r>
        <w:r w:rsidR="003A0861" w:rsidRPr="00DD4652">
          <w:rPr>
            <w:rStyle w:val="Hyperlink"/>
            <w:rFonts w:eastAsia="Times New Roman"/>
            <w:sz w:val="22"/>
          </w:rPr>
          <w:fldChar w:fldCharType="end"/>
        </w:r>
      </w:hyperlink>
      <w:r w:rsidR="002A62CD" w:rsidRPr="00DD4652">
        <w:rPr>
          <w:rFonts w:eastAsia="Times New Roman"/>
          <w:sz w:val="22"/>
        </w:rPr>
        <w:t xml:space="preserve">, </w:t>
      </w:r>
      <w:hyperlink w:anchor="_ENREF_26" w:tooltip="Mirza, 2023 #10233" w:history="1">
        <w:r w:rsidR="00D9332F" w:rsidRPr="00DD4652">
          <w:rPr>
            <w:rStyle w:val="Hyperlink"/>
            <w:rFonts w:eastAsia="Times New Roman"/>
            <w:sz w:val="22"/>
          </w:rPr>
          <w:fldChar w:fldCharType="begin"/>
        </w:r>
        <w:r w:rsidR="00D9332F" w:rsidRPr="00DD4652">
          <w:rPr>
            <w:rStyle w:val="Hyperlink"/>
            <w:rFonts w:eastAsia="Times New Roman"/>
            <w:sz w:val="22"/>
          </w:rPr>
          <w:instrText xml:space="preserve"> ADDIN EN.CITE &lt;EndNote&gt;&lt;Cite AuthorYear="1"&gt;&lt;Author&gt;Mirza&lt;/Author&gt;&lt;Year&gt;2023&lt;/Year&gt;&lt;RecNum&gt;10233&lt;/RecNum&gt;&lt;DisplayText&gt;Mirza et al.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EndNote&gt;</w:instrText>
        </w:r>
        <w:r w:rsidR="00D9332F" w:rsidRPr="00DD4652">
          <w:rPr>
            <w:rStyle w:val="Hyperlink"/>
            <w:rFonts w:eastAsia="Times New Roman"/>
            <w:sz w:val="22"/>
          </w:rPr>
          <w:fldChar w:fldCharType="separate"/>
        </w:r>
        <w:r w:rsidR="00D9332F" w:rsidRPr="00DD4652">
          <w:rPr>
            <w:rStyle w:val="Hyperlink"/>
            <w:rFonts w:eastAsia="Times New Roman"/>
            <w:sz w:val="22"/>
          </w:rPr>
          <w:t>Mirza et al. (2023)</w:t>
        </w:r>
        <w:r w:rsidR="00D9332F" w:rsidRPr="00DD4652">
          <w:rPr>
            <w:rStyle w:val="Hyperlink"/>
            <w:rFonts w:eastAsia="Times New Roman"/>
            <w:sz w:val="22"/>
          </w:rPr>
          <w:fldChar w:fldCharType="end"/>
        </w:r>
      </w:hyperlink>
      <w:r w:rsidR="00FF0DA0" w:rsidRPr="00DD4652">
        <w:rPr>
          <w:rFonts w:eastAsia="Times New Roman"/>
          <w:sz w:val="22"/>
        </w:rPr>
        <w:t>, and</w:t>
      </w:r>
      <w:r w:rsidR="002A62CD" w:rsidRPr="00DD4652">
        <w:rPr>
          <w:rFonts w:eastAsia="Times New Roman"/>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00FA4C73" w:rsidRPr="00DD4652">
        <w:rPr>
          <w:rFonts w:eastAsia="Times New Roman"/>
          <w:sz w:val="22"/>
        </w:rPr>
        <w:t xml:space="preserve"> </w:t>
      </w:r>
      <w:r w:rsidR="002A62CD" w:rsidRPr="00DD4652">
        <w:rPr>
          <w:rFonts w:eastAsia="Times New Roman"/>
          <w:sz w:val="22"/>
        </w:rPr>
        <w:t>found a positive impact of green credit on ROA.</w:t>
      </w:r>
      <w:r w:rsidR="00DA65A6" w:rsidRPr="00DD4652">
        <w:rPr>
          <w:rFonts w:eastAsia="Times New Roman"/>
          <w:sz w:val="22"/>
        </w:rPr>
        <w:t xml:space="preserve"> </w:t>
      </w:r>
      <w:hyperlink w:anchor="_ENREF_10" w:tooltip="Buallay, 2021 #10242" w:history="1">
        <w:r w:rsidR="00DA65A6" w:rsidRPr="00DD4652">
          <w:rPr>
            <w:rStyle w:val="Hyperlink"/>
            <w:rFonts w:eastAsia="Times New Roman"/>
            <w:sz w:val="22"/>
          </w:rPr>
          <w:fldChar w:fldCharType="begin"/>
        </w:r>
        <w:r w:rsidR="00DA65A6" w:rsidRPr="00DD4652">
          <w:rPr>
            <w:rStyle w:val="Hyperlink"/>
            <w:rFonts w:eastAsia="Times New Roman"/>
            <w:sz w:val="22"/>
          </w:rPr>
          <w:instrText xml:space="preserve"> ADDIN EN.CITE &lt;EndNote&gt;&lt;Cite AuthorYear="1"&gt;&lt;Author&gt;Buallay&lt;/Author&gt;&lt;Year&gt;2021&lt;/Year&gt;&lt;RecNum&gt;10242&lt;/RecNum&gt;&lt;DisplayText&gt;Buallay, Fadel, Alajmi, and Saudagaran (2021)&lt;/DisplayText&gt;&lt;record&gt;&lt;rec-number&gt;10242&lt;/rec-number&gt;&lt;foreign-keys&gt;&lt;key app="EN" db-id="x5ezdazsa9zseqe5esy5zw9wxe95pawf2e0d" timestamp="1784694365"&gt;10242&lt;/key&gt;&lt;/foreign-keys&gt;&lt;ref-type name="Journal Article"&gt;17&lt;/ref-type&gt;&lt;contributors&gt;&lt;authors&gt;&lt;author&gt;Buallay, Amina&lt;/author&gt;&lt;author&gt;Fadel, Sayed M&lt;/author&gt;&lt;author&gt;Alajmi, Jasim&lt;/author&gt;&lt;author&gt;Saudagaran, Shahrokh&lt;/author&gt;&lt;/authors&gt;&lt;/contributors&gt;&lt;titles&gt;&lt;title&gt;Sustainability reporting and bank performance after financial crisis: Evidence from developed and developing countries&lt;/title&gt;&lt;secondary-title&gt;Competitiveness Review: An International Business Journal&lt;/secondary-title&gt;&lt;/titles&gt;&lt;periodical&gt;&lt;full-title&gt;Competitiveness Review: An International Business Journal&lt;/full-title&gt;&lt;/periodical&gt;&lt;pages&gt;747-770&lt;/pages&gt;&lt;volume&gt;31&lt;/volume&gt;&lt;number&gt;4&lt;/number&gt;&lt;dates&gt;&lt;year&gt;2021&lt;/year&gt;&lt;/dates&gt;&lt;isbn&gt;1059-5422&lt;/isbn&gt;&lt;urls&gt;&lt;/urls&gt;&lt;electronic-resource-num&gt;https://doi.org/10.1108/CR-04-2019-0040&lt;/electronic-resource-num&gt;&lt;/record&gt;&lt;/Cite&gt;&lt;/EndNote&gt;</w:instrText>
        </w:r>
        <w:r w:rsidR="00DA65A6" w:rsidRPr="00DD4652">
          <w:rPr>
            <w:rStyle w:val="Hyperlink"/>
            <w:rFonts w:eastAsia="Times New Roman"/>
            <w:sz w:val="22"/>
          </w:rPr>
          <w:fldChar w:fldCharType="separate"/>
        </w:r>
        <w:r w:rsidR="00DA65A6" w:rsidRPr="00DD4652">
          <w:rPr>
            <w:rStyle w:val="Hyperlink"/>
            <w:rFonts w:eastAsia="Times New Roman"/>
            <w:sz w:val="22"/>
          </w:rPr>
          <w:t>Buallay, Fadel, Alajmi, and Saudagaran (2021)</w:t>
        </w:r>
        <w:r w:rsidR="00DA65A6" w:rsidRPr="00DD4652">
          <w:rPr>
            <w:rStyle w:val="Hyperlink"/>
            <w:rFonts w:eastAsia="Times New Roman"/>
            <w:sz w:val="22"/>
          </w:rPr>
          <w:fldChar w:fldCharType="end"/>
        </w:r>
      </w:hyperlink>
      <w:r w:rsidR="00AD35D5" w:rsidRPr="00DD4652">
        <w:rPr>
          <w:rFonts w:eastAsia="Times New Roman"/>
          <w:sz w:val="22"/>
        </w:rPr>
        <w:t xml:space="preserve"> reinforce this view by showing that sustainability orientation is positively associated with bank profitability across both developed and emerging-market samples. I</w:t>
      </w:r>
      <w:r w:rsidR="002A62CD" w:rsidRPr="00DD4652">
        <w:rPr>
          <w:rFonts w:eastAsia="Times New Roman"/>
          <w:sz w:val="22"/>
        </w:rPr>
        <w:t>n the post</w:t>
      </w:r>
      <w:r w:rsidR="00A63354" w:rsidRPr="00DD4652">
        <w:rPr>
          <w:rFonts w:eastAsia="Times New Roman"/>
          <w:sz w:val="22"/>
        </w:rPr>
        <w:t xml:space="preserve"> </w:t>
      </w:r>
      <w:r w:rsidR="002A62CD" w:rsidRPr="00DD4652">
        <w:rPr>
          <w:rFonts w:eastAsia="Times New Roman"/>
          <w:sz w:val="22"/>
        </w:rPr>
        <w:t>pandemic Indonesian banking context, the increasingly mature ESG-reporting infrastructure enables banks to translate their green commitments into signals that are efficiently captured by the market. Accordingly, the first hypothesis is formulated as follows:</w:t>
      </w:r>
    </w:p>
    <w:p w14:paraId="344E5A0D" w14:textId="08A00CFD" w:rsidR="00FC45DE" w:rsidRDefault="002A62CD" w:rsidP="0078625C">
      <w:pPr>
        <w:spacing w:line="240" w:lineRule="auto"/>
        <w:ind w:firstLine="540"/>
        <w:rPr>
          <w:rFonts w:eastAsia="Times New Roman"/>
          <w:sz w:val="22"/>
        </w:rPr>
      </w:pPr>
      <w:r w:rsidRPr="00DD4652">
        <w:rPr>
          <w:rFonts w:eastAsia="Times New Roman"/>
          <w:i/>
          <w:iCs/>
          <w:sz w:val="22"/>
        </w:rPr>
        <w:t>H</w:t>
      </w:r>
      <w:r w:rsidRPr="00DD4652">
        <w:rPr>
          <w:rFonts w:eastAsia="Times New Roman"/>
          <w:i/>
          <w:iCs/>
          <w:sz w:val="22"/>
          <w:vertAlign w:val="subscript"/>
        </w:rPr>
        <w:t>1</w:t>
      </w:r>
      <w:r w:rsidRPr="00DD4652">
        <w:rPr>
          <w:rFonts w:eastAsia="Times New Roman"/>
          <w:sz w:val="22"/>
        </w:rPr>
        <w:t>: Green credit has a positive effect on bank profitability</w:t>
      </w:r>
    </w:p>
    <w:p w14:paraId="35BCCC10" w14:textId="77777777" w:rsidR="00B3266D" w:rsidRPr="00DD4652" w:rsidRDefault="00B3266D" w:rsidP="0078625C">
      <w:pPr>
        <w:spacing w:line="240" w:lineRule="auto"/>
        <w:ind w:firstLine="540"/>
        <w:rPr>
          <w:rFonts w:eastAsia="Times New Roman"/>
          <w:sz w:val="22"/>
        </w:rPr>
      </w:pPr>
    </w:p>
    <w:p w14:paraId="43A82329" w14:textId="052245F7" w:rsidR="0078625C" w:rsidRPr="00DD4652" w:rsidRDefault="002A62CD" w:rsidP="0078625C">
      <w:pPr>
        <w:pStyle w:val="ListParagraph"/>
        <w:numPr>
          <w:ilvl w:val="2"/>
          <w:numId w:val="1"/>
        </w:numPr>
        <w:spacing w:line="240" w:lineRule="auto"/>
        <w:ind w:left="540" w:hanging="540"/>
        <w:jc w:val="both"/>
        <w:rPr>
          <w:rFonts w:eastAsia="Times New Roman"/>
          <w:sz w:val="22"/>
        </w:rPr>
      </w:pPr>
      <w:r w:rsidRPr="00DD4652">
        <w:rPr>
          <w:rFonts w:eastAsia="Times New Roman"/>
          <w:sz w:val="22"/>
        </w:rPr>
        <w:t>The Effect of NPL on Profitability</w:t>
      </w:r>
    </w:p>
    <w:p w14:paraId="46E125D8" w14:textId="13C5DB76" w:rsidR="002A62CD" w:rsidRPr="00DD4652" w:rsidRDefault="002A62CD" w:rsidP="0078625C">
      <w:pPr>
        <w:spacing w:line="240" w:lineRule="auto"/>
        <w:ind w:firstLine="540"/>
        <w:jc w:val="both"/>
        <w:rPr>
          <w:sz w:val="22"/>
        </w:rPr>
      </w:pPr>
      <w:r w:rsidRPr="00DD4652">
        <w:rPr>
          <w:rFonts w:eastAsia="Times New Roman"/>
          <w:sz w:val="22"/>
        </w:rPr>
        <w:t xml:space="preserve">Agency </w:t>
      </w:r>
      <w:r w:rsidR="0078625C" w:rsidRPr="00DD4652">
        <w:rPr>
          <w:rFonts w:eastAsia="Times New Roman"/>
          <w:sz w:val="22"/>
        </w:rPr>
        <w:t>t</w:t>
      </w:r>
      <w:r w:rsidRPr="00DD4652">
        <w:rPr>
          <w:rFonts w:eastAsia="Times New Roman"/>
          <w:sz w:val="22"/>
        </w:rPr>
        <w:t xml:space="preserve">heory through the bad management hypothesis </w:t>
      </w:r>
      <w:hyperlink w:anchor="_ENREF_8" w:tooltip="Berger, 1997 #10256" w:history="1">
        <w:r w:rsidR="00A72946" w:rsidRPr="00DD4652">
          <w:rPr>
            <w:rStyle w:val="Hyperlink"/>
            <w:rFonts w:eastAsia="Times New Roman"/>
            <w:sz w:val="22"/>
          </w:rPr>
          <w:fldChar w:fldCharType="begin"/>
        </w:r>
        <w:r w:rsidR="00A72946" w:rsidRPr="00DD4652">
          <w:rPr>
            <w:rStyle w:val="Hyperlink"/>
            <w:rFonts w:eastAsia="Times New Roman"/>
            <w:sz w:val="22"/>
          </w:rPr>
          <w:instrText xml:space="preserve"> ADDIN EN.CITE &lt;EndNote&gt;&lt;Cite AuthorYear="1"&gt;&lt;Author&gt;Berger&lt;/Author&gt;&lt;Year&gt;1997&lt;/Year&gt;&lt;RecNum&gt;10256&lt;/RecNum&gt;&lt;DisplayText&gt;Berger and DeYoung (1997)&lt;/DisplayText&gt;&lt;record&gt;&lt;rec-number&gt;10256&lt;/rec-number&gt;&lt;foreign-keys&gt;&lt;key app="EN" db-id="x5ezdazsa9zseqe5esy5zw9wxe95pawf2e0d" timestamp="1784700433"&gt;10256&lt;/key&gt;&lt;/foreign-keys&gt;&lt;ref-type name="Journal Article"&gt;17&lt;/ref-type&gt;&lt;contributors&gt;&lt;authors&gt;&lt;author&gt;Berger, Allen N&lt;/author&gt;&lt;author&gt;DeYoung, Robert&lt;/author&gt;&lt;/authors&gt;&lt;/contributors&gt;&lt;titles&gt;&lt;title&gt;Problem loans and cost efficiency in commercial banks&lt;/title&gt;&lt;secondary-title&gt;Journal of banking &amp;amp; finance&lt;/secondary-title&gt;&lt;/titles&gt;&lt;periodical&gt;&lt;full-title&gt;Journal of Banking &amp;amp; finance&lt;/full-title&gt;&lt;/periodical&gt;&lt;pages&gt;849-870&lt;/pages&gt;&lt;volume&gt;21&lt;/volume&gt;&lt;number&gt;6&lt;/number&gt;&lt;dates&gt;&lt;year&gt;1997&lt;/year&gt;&lt;/dates&gt;&lt;isbn&gt;0378-4266&lt;/isbn&gt;&lt;urls&gt;&lt;/urls&gt;&lt;electronic-resource-num&gt;https://doi.org/10.1016/S0378-4266(97)00003-4&lt;/electronic-resource-num&gt;&lt;/record&gt;&lt;/Cite&gt;&lt;/EndNote&gt;</w:instrText>
        </w:r>
        <w:r w:rsidR="00A72946" w:rsidRPr="00DD4652">
          <w:rPr>
            <w:rStyle w:val="Hyperlink"/>
            <w:rFonts w:eastAsia="Times New Roman"/>
            <w:sz w:val="22"/>
          </w:rPr>
          <w:fldChar w:fldCharType="separate"/>
        </w:r>
        <w:r w:rsidR="00A72946" w:rsidRPr="00DD4652">
          <w:rPr>
            <w:rStyle w:val="Hyperlink"/>
            <w:rFonts w:eastAsia="Times New Roman"/>
            <w:sz w:val="22"/>
          </w:rPr>
          <w:t>Berger and DeYoung (1997)</w:t>
        </w:r>
        <w:r w:rsidR="00A72946" w:rsidRPr="00DD4652">
          <w:rPr>
            <w:rStyle w:val="Hyperlink"/>
            <w:rFonts w:eastAsia="Times New Roman"/>
            <w:sz w:val="22"/>
          </w:rPr>
          <w:fldChar w:fldCharType="end"/>
        </w:r>
      </w:hyperlink>
      <w:r w:rsidRPr="00DD4652">
        <w:rPr>
          <w:rFonts w:eastAsia="Times New Roman"/>
          <w:sz w:val="22"/>
        </w:rPr>
        <w:t xml:space="preserve"> states that high NPL is a manifestation of management's failure in credit supervision that depresses profitability through an increase in CKPN expense and a loss of interest income.</w:t>
      </w:r>
      <w:r w:rsidR="005F333F" w:rsidRPr="00DD4652">
        <w:rPr>
          <w:rFonts w:eastAsia="Times New Roman"/>
          <w:color w:val="000000"/>
          <w:sz w:val="22"/>
        </w:rPr>
        <w:t xml:space="preserve"> </w:t>
      </w:r>
      <w:hyperlink w:anchor="_ENREF_12" w:tooltip="Ekinci, 2019 #10246" w:history="1">
        <w:r w:rsidR="005F333F" w:rsidRPr="00DD4652">
          <w:rPr>
            <w:rStyle w:val="Hyperlink"/>
            <w:rFonts w:eastAsia="Times New Roman"/>
            <w:sz w:val="22"/>
          </w:rPr>
          <w:fldChar w:fldCharType="begin"/>
        </w:r>
        <w:r w:rsidR="005F333F" w:rsidRPr="00DD4652">
          <w:rPr>
            <w:rStyle w:val="Hyperlink"/>
            <w:rFonts w:eastAsia="Times New Roman"/>
            <w:sz w:val="22"/>
          </w:rPr>
          <w:instrText xml:space="preserve"> ADDIN EN.CITE &lt;EndNote&gt;&lt;Cite AuthorYear="1"&gt;&lt;Author&gt;Ekinci&lt;/Author&gt;&lt;Year&gt;2019&lt;/Year&gt;&lt;RecNum&gt;10246&lt;/RecNum&gt;&lt;DisplayText&gt;Ekinci and Poyraz (2019)&lt;/DisplayText&gt;&lt;record&gt;&lt;rec-number&gt;10246&lt;/rec-number&gt;&lt;foreign-keys&gt;&lt;key app="EN" db-id="x5ezdazsa9zseqe5esy5zw9wxe95pawf2e0d" timestamp="1784694740"&gt;10246&lt;/key&gt;&lt;/foreign-keys&gt;&lt;ref-type name="Journal Article"&gt;17&lt;/ref-type&gt;&lt;contributors&gt;&lt;authors&gt;&lt;author&gt;Ekinci, Ramazan&lt;/author&gt;&lt;author&gt;Poyraz, Gulden&lt;/author&gt;&lt;/authors&gt;&lt;/contributors&gt;&lt;titles&gt;&lt;title&gt;The effect of credit risk on financial performance of deposit banks in Turkey&lt;/title&gt;&lt;secondary-title&gt;Procedia computer science&lt;/secondary-title&gt;&lt;/titles&gt;&lt;periodical&gt;&lt;full-title&gt;Procedia Computer Science&lt;/full-title&gt;&lt;/periodical&gt;&lt;pages&gt;979-987&lt;/pages&gt;&lt;volume&gt;158&lt;/volume&gt;&lt;dates&gt;&lt;year&gt;2019&lt;/year&gt;&lt;/dates&gt;&lt;isbn&gt;1877-0509&lt;/isbn&gt;&lt;urls&gt;&lt;/urls&gt;&lt;electronic-resource-num&gt;https://doi.org/10.1016/j.procs.2019.09.139&lt;/electronic-resource-num&gt;&lt;/record&gt;&lt;/Cite&gt;&lt;/EndNote&gt;</w:instrText>
        </w:r>
        <w:r w:rsidR="005F333F" w:rsidRPr="00DD4652">
          <w:rPr>
            <w:rStyle w:val="Hyperlink"/>
            <w:rFonts w:eastAsia="Times New Roman"/>
            <w:sz w:val="22"/>
          </w:rPr>
          <w:fldChar w:fldCharType="separate"/>
        </w:r>
        <w:r w:rsidR="005F333F" w:rsidRPr="00DD4652">
          <w:rPr>
            <w:rStyle w:val="Hyperlink"/>
            <w:rFonts w:eastAsia="Times New Roman"/>
            <w:sz w:val="22"/>
          </w:rPr>
          <w:t>Ekinci and Poyraz (2019)</w:t>
        </w:r>
        <w:r w:rsidR="005F333F" w:rsidRPr="00DD4652">
          <w:rPr>
            <w:rStyle w:val="Hyperlink"/>
            <w:rFonts w:eastAsia="Times New Roman"/>
            <w:sz w:val="22"/>
          </w:rPr>
          <w:fldChar w:fldCharType="end"/>
        </w:r>
      </w:hyperlink>
      <w:r w:rsidRPr="00DD4652">
        <w:rPr>
          <w:rFonts w:eastAsia="Times New Roman"/>
          <w:sz w:val="22"/>
        </w:rPr>
        <w:t xml:space="preserve">, </w:t>
      </w:r>
      <w:hyperlink w:anchor="_ENREF_17" w:tooltip="Gupta, 2026 #10224" w:history="1">
        <w:r w:rsidR="00432863" w:rsidRPr="00DD4652">
          <w:rPr>
            <w:rStyle w:val="Hyperlink"/>
            <w:rFonts w:eastAsia="Times New Roman"/>
            <w:sz w:val="22"/>
          </w:rPr>
          <w:fldChar w:fldCharType="begin"/>
        </w:r>
        <w:r w:rsidR="00432863" w:rsidRPr="00DD4652">
          <w:rPr>
            <w:rStyle w:val="Hyperlink"/>
            <w:rFonts w:eastAsia="Times New Roman"/>
            <w:sz w:val="22"/>
          </w:rPr>
          <w:instrText xml:space="preserve"> ADDIN EN.CITE &lt;EndNote&gt;&lt;Cite AuthorYear="1"&gt;&lt;Author&gt;Gupta&lt;/Author&gt;&lt;Year&gt;2026&lt;/Year&gt;&lt;RecNum&gt;10224&lt;/RecNum&gt;&lt;DisplayText&gt;Gupta and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432863" w:rsidRPr="00DD4652">
          <w:rPr>
            <w:rStyle w:val="Hyperlink"/>
            <w:rFonts w:eastAsia="Times New Roman"/>
            <w:sz w:val="22"/>
          </w:rPr>
          <w:fldChar w:fldCharType="separate"/>
        </w:r>
        <w:r w:rsidR="00432863" w:rsidRPr="00DD4652">
          <w:rPr>
            <w:rStyle w:val="Hyperlink"/>
            <w:rFonts w:eastAsia="Times New Roman"/>
            <w:sz w:val="22"/>
          </w:rPr>
          <w:t>Gupta and Bansal (2026)</w:t>
        </w:r>
        <w:r w:rsidR="00432863" w:rsidRPr="00DD4652">
          <w:rPr>
            <w:rStyle w:val="Hyperlink"/>
            <w:rFonts w:eastAsia="Times New Roman"/>
            <w:sz w:val="22"/>
          </w:rPr>
          <w:fldChar w:fldCharType="end"/>
        </w:r>
      </w:hyperlink>
      <w:r w:rsidRPr="00DD4652">
        <w:rPr>
          <w:rFonts w:eastAsia="Times New Roman"/>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and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xml:space="preserve"> consistently confirm a significant negative effect of NPL on ROA. The consistency of findings across various emerging-market contexts strengthens this theoretical prediction</w:t>
      </w:r>
      <w:r w:rsidR="0078625C" w:rsidRPr="00DD4652">
        <w:rPr>
          <w:rFonts w:eastAsia="Times New Roman"/>
          <w:sz w:val="22"/>
        </w:rPr>
        <w:t>.</w:t>
      </w:r>
      <w:r w:rsidRPr="00DD4652">
        <w:rPr>
          <w:rFonts w:eastAsia="Times New Roman"/>
          <w:sz w:val="22"/>
        </w:rPr>
        <w:t xml:space="preserve"> </w:t>
      </w:r>
      <w:r w:rsidR="0078625C" w:rsidRPr="00DD4652">
        <w:rPr>
          <w:rFonts w:eastAsia="Times New Roman"/>
          <w:sz w:val="22"/>
        </w:rPr>
        <w:t>T</w:t>
      </w:r>
      <w:r w:rsidRPr="00DD4652">
        <w:rPr>
          <w:rFonts w:eastAsia="Times New Roman"/>
          <w:sz w:val="22"/>
        </w:rPr>
        <w:t>herefore, the second hypothesis is formulated as follows:</w:t>
      </w:r>
    </w:p>
    <w:p w14:paraId="069E58C9" w14:textId="42F3BC2C" w:rsidR="002A62CD" w:rsidRPr="00DD4652" w:rsidRDefault="002A62CD" w:rsidP="0078625C">
      <w:pPr>
        <w:spacing w:line="240" w:lineRule="auto"/>
        <w:ind w:firstLine="540"/>
        <w:rPr>
          <w:rFonts w:eastAsia="Times New Roman"/>
          <w:sz w:val="22"/>
        </w:rPr>
      </w:pPr>
      <w:r w:rsidRPr="00DD4652">
        <w:rPr>
          <w:rFonts w:eastAsia="Times New Roman"/>
          <w:i/>
          <w:iCs/>
          <w:sz w:val="22"/>
        </w:rPr>
        <w:t>H</w:t>
      </w:r>
      <w:r w:rsidRPr="00DD4652">
        <w:rPr>
          <w:rFonts w:eastAsia="Times New Roman"/>
          <w:i/>
          <w:iCs/>
          <w:sz w:val="22"/>
          <w:vertAlign w:val="subscript"/>
        </w:rPr>
        <w:t>2</w:t>
      </w:r>
      <w:r w:rsidRPr="00DD4652">
        <w:rPr>
          <w:rFonts w:eastAsia="Times New Roman"/>
          <w:sz w:val="22"/>
        </w:rPr>
        <w:t>: Non-Performing Loan (NPL) has a negative effect on bank profitability</w:t>
      </w:r>
    </w:p>
    <w:p w14:paraId="09BC6E3D" w14:textId="77777777" w:rsidR="00FC45DE" w:rsidRPr="00DD4652" w:rsidRDefault="00FC45DE" w:rsidP="00917C19">
      <w:pPr>
        <w:spacing w:line="240" w:lineRule="auto"/>
        <w:rPr>
          <w:sz w:val="22"/>
        </w:rPr>
      </w:pPr>
    </w:p>
    <w:p w14:paraId="210CE65E" w14:textId="385695EC" w:rsidR="00A63354" w:rsidRPr="00DD4652" w:rsidRDefault="002A62CD" w:rsidP="0078625C">
      <w:pPr>
        <w:pStyle w:val="ListParagraph"/>
        <w:numPr>
          <w:ilvl w:val="2"/>
          <w:numId w:val="1"/>
        </w:numPr>
        <w:spacing w:line="240" w:lineRule="auto"/>
        <w:ind w:left="540" w:hanging="540"/>
        <w:jc w:val="both"/>
        <w:rPr>
          <w:rFonts w:eastAsia="Times New Roman"/>
          <w:sz w:val="22"/>
        </w:rPr>
      </w:pPr>
      <w:r w:rsidRPr="00DD4652">
        <w:rPr>
          <w:rFonts w:eastAsia="Times New Roman"/>
          <w:sz w:val="22"/>
        </w:rPr>
        <w:t>The Moderating Role of Bank Size on the Effect of Green Credit on Profitability</w:t>
      </w:r>
    </w:p>
    <w:p w14:paraId="28384C8A" w14:textId="35946DEC" w:rsidR="002A62CD" w:rsidRPr="00DD4652" w:rsidRDefault="00A63354" w:rsidP="0078625C">
      <w:pPr>
        <w:spacing w:line="240" w:lineRule="auto"/>
        <w:ind w:firstLine="540"/>
        <w:jc w:val="both"/>
        <w:rPr>
          <w:rFonts w:eastAsia="Times New Roman"/>
          <w:b/>
          <w:bCs/>
          <w:sz w:val="22"/>
        </w:rPr>
      </w:pPr>
      <w:r w:rsidRPr="00DD4652">
        <w:rPr>
          <w:rFonts w:eastAsia="Times New Roman"/>
          <w:sz w:val="22"/>
        </w:rPr>
        <w:t xml:space="preserve">The direction of bank size's moderating effect is theoretically ambiguous, as two competing mechanisms operate in opposite directions. On one hand, </w:t>
      </w:r>
      <w:r w:rsidR="00B3266D" w:rsidRPr="00DD4652">
        <w:rPr>
          <w:rFonts w:eastAsia="Times New Roman"/>
          <w:sz w:val="22"/>
        </w:rPr>
        <w:t>signaling</w:t>
      </w:r>
      <w:r w:rsidRPr="00DD4652">
        <w:rPr>
          <w:rFonts w:eastAsia="Times New Roman"/>
          <w:sz w:val="22"/>
        </w:rPr>
        <w:t xml:space="preserve"> </w:t>
      </w:r>
      <w:r w:rsidR="00E14CFB" w:rsidRPr="00DD4652">
        <w:rPr>
          <w:rFonts w:eastAsia="Times New Roman"/>
          <w:sz w:val="22"/>
        </w:rPr>
        <w:t>t</w:t>
      </w:r>
      <w:r w:rsidRPr="00DD4652">
        <w:rPr>
          <w:rFonts w:eastAsia="Times New Roman"/>
          <w:sz w:val="22"/>
        </w:rPr>
        <w:t xml:space="preserve">heory suggests that the fixed cost of green-credit signal investment allows large banks to reach break-even more quickly, while </w:t>
      </w:r>
      <w:r w:rsidR="006D402D" w:rsidRPr="00DD4652">
        <w:rPr>
          <w:rFonts w:eastAsia="Times New Roman"/>
          <w:sz w:val="22"/>
        </w:rPr>
        <w:t xml:space="preserve">resource-based theory </w:t>
      </w:r>
      <w:r w:rsidRPr="00DD4652">
        <w:rPr>
          <w:rFonts w:eastAsia="Times New Roman"/>
          <w:sz w:val="22"/>
        </w:rPr>
        <w:t>posits that the VRIN resources of large banks enable more efficient conversion of green commitments into profitability</w:t>
      </w:r>
      <w:r w:rsidR="00A05E81" w:rsidRPr="00DD4652">
        <w:rPr>
          <w:rFonts w:eastAsia="Times New Roman"/>
          <w:sz w:val="22"/>
        </w:rPr>
        <w:t xml:space="preserve"> </w:t>
      </w:r>
      <w:r w:rsidR="00A05E81" w:rsidRPr="00DD4652">
        <w:rPr>
          <w:rFonts w:eastAsia="Times New Roman"/>
          <w:sz w:val="22"/>
        </w:rPr>
        <w:fldChar w:fldCharType="begin"/>
      </w:r>
      <w:r w:rsidR="00A05E81" w:rsidRPr="00DD4652">
        <w:rPr>
          <w:rFonts w:eastAsia="Times New Roman"/>
          <w:sz w:val="22"/>
        </w:rPr>
        <w:instrText xml:space="preserve"> ADDIN EN.CITE &lt;EndNote&gt;&lt;Cite&gt;&lt;Author&gt;Galan&lt;/Author&gt;&lt;Year&gt;2024&lt;/Year&gt;&lt;RecNum&gt;10252&lt;/RecNum&gt;&lt;DisplayText&gt;(Galan &amp;amp; Tan, 2024)&lt;/DisplayText&gt;&lt;record&gt;&lt;rec-number&gt;10252&lt;/rec-number&gt;&lt;foreign-keys&gt;&lt;key app="EN" db-id="x5ezdazsa9zseqe5esy5zw9wxe95pawf2e0d" timestamp="1784695869"&gt;10252&lt;/key&gt;&lt;/foreign-keys&gt;&lt;ref-type name="Journal Article"&gt;17&lt;/ref-type&gt;&lt;contributors&gt;&lt;authors&gt;&lt;author&gt;Galan, Jorge E&lt;/author&gt;&lt;author&gt;Tan, Yong&lt;/author&gt;&lt;/authors&gt;&lt;/contributors&gt;&lt;titles&gt;&lt;title&gt;Green light for green credit? Evidence from its impact on bank efficiency&lt;/title&gt;&lt;secondary-title&gt;International Journal of Finance &amp;amp; Economics&lt;/secondary-title&gt;&lt;/titles&gt;&lt;periodical&gt;&lt;full-title&gt;International Journal of Finance &amp;amp; Economics&lt;/full-title&gt;&lt;/periodical&gt;&lt;pages&gt;531-550&lt;/pages&gt;&lt;volume&gt;29&lt;/volume&gt;&lt;number&gt;1&lt;/number&gt;&lt;dates&gt;&lt;year&gt;2024&lt;/year&gt;&lt;/dates&gt;&lt;isbn&gt;1076-9307&lt;/isbn&gt;&lt;urls&gt;&lt;/urls&gt;&lt;electronic-resource-num&gt;https://doi.org/10.1002/ijfe.2697&lt;/electronic-resource-num&gt;&lt;/record&gt;&lt;/Cite&gt;&lt;/EndNote&gt;</w:instrText>
      </w:r>
      <w:r w:rsidR="00A05E81" w:rsidRPr="00DD4652">
        <w:rPr>
          <w:rFonts w:eastAsia="Times New Roman"/>
          <w:sz w:val="22"/>
        </w:rPr>
        <w:fldChar w:fldCharType="separate"/>
      </w:r>
      <w:r w:rsidR="00A05E81" w:rsidRPr="00DD4652">
        <w:rPr>
          <w:rFonts w:eastAsia="Times New Roman"/>
          <w:sz w:val="22"/>
        </w:rPr>
        <w:t>(</w:t>
      </w:r>
      <w:hyperlink w:anchor="_ENREF_15" w:tooltip="Galan, 2024 #10252" w:history="1">
        <w:r w:rsidR="00A05E81" w:rsidRPr="00DD4652">
          <w:rPr>
            <w:rStyle w:val="Hyperlink"/>
            <w:rFonts w:eastAsia="Times New Roman"/>
            <w:sz w:val="22"/>
          </w:rPr>
          <w:t>Galan &amp; Tan, 2024</w:t>
        </w:r>
      </w:hyperlink>
      <w:r w:rsidR="00A05E81" w:rsidRPr="00DD4652">
        <w:rPr>
          <w:rFonts w:eastAsia="Times New Roman"/>
          <w:sz w:val="22"/>
        </w:rPr>
        <w:t>)</w:t>
      </w:r>
      <w:r w:rsidR="00A05E81" w:rsidRPr="00DD4652">
        <w:rPr>
          <w:rFonts w:eastAsia="Times New Roman"/>
          <w:sz w:val="22"/>
        </w:rPr>
        <w:fldChar w:fldCharType="end"/>
      </w:r>
      <w:r w:rsidRPr="00DD4652">
        <w:rPr>
          <w:rFonts w:eastAsia="Times New Roman"/>
          <w:sz w:val="22"/>
        </w:rPr>
        <w:t>. On the other hand, smaller banks may capture proportionally larger marginal gains from green lending: operating from a lower profitability base and a less diversified portfolio, a strategic shift toward green credit can act as a more material differentiator, while diminishing returns weaken the incremental benefit for already-large institutions. Consistent with this latter view,</w:t>
      </w:r>
      <w:r w:rsidR="000343D7" w:rsidRPr="00DD4652">
        <w:rPr>
          <w:rFonts w:eastAsia="Times New Roman"/>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and</w:t>
      </w:r>
      <w:r w:rsidR="00E575EB" w:rsidRPr="00DD4652">
        <w:rPr>
          <w:rFonts w:eastAsia="Times New Roman"/>
          <w:sz w:val="22"/>
        </w:rPr>
        <w:t xml:space="preserve"> </w:t>
      </w:r>
      <w:hyperlink w:anchor="_ENREF_13" w:tooltip="Fata, 2024 #10251" w:history="1">
        <w:r w:rsidR="00E575EB" w:rsidRPr="00DD4652">
          <w:rPr>
            <w:rStyle w:val="Hyperlink"/>
            <w:rFonts w:eastAsia="Times New Roman"/>
            <w:sz w:val="22"/>
          </w:rPr>
          <w:fldChar w:fldCharType="begin"/>
        </w:r>
        <w:r w:rsidR="00E575EB" w:rsidRPr="00DD4652">
          <w:rPr>
            <w:rStyle w:val="Hyperlink"/>
            <w:rFonts w:eastAsia="Times New Roman"/>
            <w:sz w:val="22"/>
          </w:rPr>
          <w:instrText xml:space="preserve"> ADDIN EN.CITE &lt;EndNote&gt;&lt;Cite AuthorYear="1"&gt;&lt;Author&gt;Fata&lt;/Author&gt;&lt;Year&gt;2024&lt;/Year&gt;&lt;RecNum&gt;10251&lt;/RecNum&gt;&lt;DisplayText&gt;Fata and Arifin (2024)&lt;/DisplayText&gt;&lt;record&gt;&lt;rec-number&gt;10251&lt;/rec-number&gt;&lt;foreign-keys&gt;&lt;key app="EN" db-id="x5ezdazsa9zseqe5esy5zw9wxe95pawf2e0d" timestamp="1784695762"&gt;10251&lt;/key&gt;&lt;/foreign-keys&gt;&lt;ref-type name="Journal Article"&gt;17&lt;/ref-type&gt;&lt;contributors&gt;&lt;authors&gt;&lt;author&gt;Fata, Fikri Ali&lt;/author&gt;&lt;author&gt;Arifin, Zaenal&lt;/author&gt;&lt;/authors&gt;&lt;/contributors&gt;&lt;titles&gt;&lt;title&gt;The impact of green credit distribution on bank performance and influencing factors: a case study of Indonesian banks&lt;/title&gt;&lt;secondary-title&gt;International Journal of Research in Business and Social Science&lt;/secondary-title&gt;&lt;/titles&gt;&lt;periodical&gt;&lt;full-title&gt;International Journal of Research in Business and Social Science&lt;/full-title&gt;&lt;/periodical&gt;&lt;pages&gt;323-332&lt;/pages&gt;&lt;volume&gt;13&lt;/volume&gt;&lt;number&gt;1&lt;/number&gt;&lt;dates&gt;&lt;year&gt;2024&lt;/year&gt;&lt;/dates&gt;&lt;isbn&gt;2147-4478&lt;/isbn&gt;&lt;urls&gt;&lt;/urls&gt;&lt;electronic-resource-num&gt;https://doi.org/10.20525/ijrbs.v13i1.3185&lt;/electronic-resource-num&gt;&lt;/record&gt;&lt;/Cite&gt;&lt;/EndNote&gt;</w:instrText>
        </w:r>
        <w:r w:rsidR="00E575EB" w:rsidRPr="00DD4652">
          <w:rPr>
            <w:rStyle w:val="Hyperlink"/>
            <w:rFonts w:eastAsia="Times New Roman"/>
            <w:sz w:val="22"/>
          </w:rPr>
          <w:fldChar w:fldCharType="separate"/>
        </w:r>
        <w:r w:rsidR="00E575EB" w:rsidRPr="00DD4652">
          <w:rPr>
            <w:rStyle w:val="Hyperlink"/>
            <w:rFonts w:eastAsia="Times New Roman"/>
            <w:sz w:val="22"/>
          </w:rPr>
          <w:t>Fata and Arifin (2024)</w:t>
        </w:r>
        <w:r w:rsidR="00E575EB" w:rsidRPr="00DD4652">
          <w:rPr>
            <w:rStyle w:val="Hyperlink"/>
            <w:rFonts w:eastAsia="Times New Roman"/>
            <w:sz w:val="22"/>
          </w:rPr>
          <w:fldChar w:fldCharType="end"/>
        </w:r>
      </w:hyperlink>
      <w:r w:rsidRPr="00DD4652">
        <w:rPr>
          <w:rFonts w:eastAsia="Times New Roman"/>
          <w:sz w:val="22"/>
        </w:rPr>
        <w:t>, in subgroup analyses, found that the effect of green credit on profitability was significant only among smaller banks. Because these mechanisms pull in opposite directions, bank size is expected to moderate the relationship without a firmly predetermined direction.</w:t>
      </w:r>
      <w:r w:rsidR="00B16A52" w:rsidRPr="00DD4652">
        <w:rPr>
          <w:rFonts w:eastAsia="Times New Roman"/>
          <w:sz w:val="22"/>
        </w:rPr>
        <w:t xml:space="preserve"> </w:t>
      </w:r>
      <w:hyperlink w:anchor="_ENREF_27" w:tooltip="Muchiri, 2025 #10260" w:history="1">
        <w:r w:rsidR="00B16A52" w:rsidRPr="00DD4652">
          <w:rPr>
            <w:rStyle w:val="Hyperlink"/>
            <w:rFonts w:eastAsia="Times New Roman"/>
            <w:sz w:val="22"/>
          </w:rPr>
          <w:fldChar w:fldCharType="begin"/>
        </w:r>
        <w:r w:rsidR="00B16A52" w:rsidRPr="00DD4652">
          <w:rPr>
            <w:rStyle w:val="Hyperlink"/>
            <w:rFonts w:eastAsia="Times New Roman"/>
            <w:sz w:val="22"/>
          </w:rPr>
          <w:instrText xml:space="preserve"> ADDIN EN.CITE &lt;EndNote&gt;&lt;Cite AuthorYear="1"&gt;&lt;Author&gt;Muchiri&lt;/Author&gt;&lt;Year&gt;2025&lt;/Year&gt;&lt;RecNum&gt;10260&lt;/RecNum&gt;&lt;DisplayText&gt;Muchiri et al. (2025)&lt;/DisplayText&gt;&lt;record&gt;&lt;rec-number&gt;10260&lt;/rec-number&gt;&lt;foreign-keys&gt;&lt;key app="EN" db-id="x5ezdazsa9zseqe5esy5zw9wxe95pawf2e0d" timestamp="1784701037"&gt;10260&lt;/key&gt;&lt;/foreign-keys&gt;&lt;ref-type name="Journal Article"&gt;17&lt;/ref-type&gt;&lt;contributors&gt;&lt;authors&gt;&lt;author&gt;Muchiri, Martin Kamau&lt;/author&gt;&lt;author&gt;Fekete-Farkas, Maria&lt;/author&gt;&lt;author&gt;Erdei-Gally, Szilvia Kesmarki&lt;/author&gt;&lt;/authors&gt;&lt;/contributors&gt;&lt;titles&gt;&lt;title&gt;How do green banking practices impact banks’ profitability? A meta-analysis&lt;/title&gt;&lt;secondary-title&gt;Journal of Risk and Financial Management&lt;/secondary-title&gt;&lt;/titles&gt;&lt;periodical&gt;&lt;full-title&gt;Journal of Risk and Financial Management&lt;/full-title&gt;&lt;/periodical&gt;&lt;pages&gt;320&lt;/pages&gt;&lt;volume&gt;18&lt;/volume&gt;&lt;number&gt;6&lt;/number&gt;&lt;dates&gt;&lt;year&gt;2025&lt;/year&gt;&lt;/dates&gt;&lt;isbn&gt;1911-8074&lt;/isbn&gt;&lt;urls&gt;&lt;/urls&gt;&lt;electronic-resource-num&gt;https://doi.org/10.3390/jrfm18060320&lt;/electronic-resource-num&gt;&lt;/record&gt;&lt;/Cite&gt;&lt;/EndNote&gt;</w:instrText>
        </w:r>
        <w:r w:rsidR="00B16A52" w:rsidRPr="00DD4652">
          <w:rPr>
            <w:rStyle w:val="Hyperlink"/>
            <w:rFonts w:eastAsia="Times New Roman"/>
            <w:sz w:val="22"/>
          </w:rPr>
          <w:fldChar w:fldCharType="separate"/>
        </w:r>
        <w:r w:rsidR="00B16A52" w:rsidRPr="00DD4652">
          <w:rPr>
            <w:rStyle w:val="Hyperlink"/>
            <w:rFonts w:eastAsia="Times New Roman"/>
            <w:sz w:val="22"/>
          </w:rPr>
          <w:t>Muchiri et al. (2025)</w:t>
        </w:r>
        <w:r w:rsidR="00B16A52" w:rsidRPr="00DD4652">
          <w:rPr>
            <w:rStyle w:val="Hyperlink"/>
            <w:rFonts w:eastAsia="Times New Roman"/>
            <w:sz w:val="22"/>
          </w:rPr>
          <w:fldChar w:fldCharType="end"/>
        </w:r>
      </w:hyperlink>
      <w:r w:rsidRPr="00DD4652">
        <w:rPr>
          <w:rFonts w:eastAsia="Times New Roman"/>
          <w:sz w:val="22"/>
        </w:rPr>
        <w:t>, analyzing 159 banks across 42 countries, further demonstrate that institutional size modifies the ESG</w:t>
      </w:r>
      <w:r w:rsidR="00B3266D">
        <w:rPr>
          <w:rFonts w:eastAsia="Times New Roman"/>
          <w:sz w:val="22"/>
        </w:rPr>
        <w:t>-</w:t>
      </w:r>
      <w:r w:rsidRPr="00DD4652">
        <w:rPr>
          <w:rFonts w:eastAsia="Times New Roman"/>
          <w:sz w:val="22"/>
        </w:rPr>
        <w:t>profitability relationship. Accordingly</w:t>
      </w:r>
      <w:r w:rsidR="002A62CD" w:rsidRPr="00DD4652">
        <w:rPr>
          <w:rFonts w:eastAsia="Times New Roman"/>
          <w:sz w:val="22"/>
        </w:rPr>
        <w:t>. Accordingly, the third hypothesis is formulated as follows:</w:t>
      </w:r>
    </w:p>
    <w:p w14:paraId="56C5557A" w14:textId="1CECE29D" w:rsidR="002A62CD" w:rsidRPr="00DD4652" w:rsidRDefault="002A62CD" w:rsidP="0078625C">
      <w:pPr>
        <w:spacing w:line="240" w:lineRule="auto"/>
        <w:ind w:firstLine="540"/>
        <w:rPr>
          <w:sz w:val="22"/>
        </w:rPr>
      </w:pPr>
      <w:r w:rsidRPr="00DD4652">
        <w:rPr>
          <w:rFonts w:eastAsia="Times New Roman"/>
          <w:i/>
          <w:iCs/>
          <w:sz w:val="22"/>
        </w:rPr>
        <w:t>H</w:t>
      </w:r>
      <w:r w:rsidRPr="00DD4652">
        <w:rPr>
          <w:rFonts w:eastAsia="Times New Roman"/>
          <w:i/>
          <w:iCs/>
          <w:sz w:val="22"/>
          <w:vertAlign w:val="subscript"/>
        </w:rPr>
        <w:t>3</w:t>
      </w:r>
      <w:r w:rsidRPr="00DD4652">
        <w:rPr>
          <w:rFonts w:eastAsia="Times New Roman"/>
          <w:sz w:val="22"/>
        </w:rPr>
        <w:t>: Bank size moderates the effect of green credit on bank profitability</w:t>
      </w:r>
    </w:p>
    <w:p w14:paraId="38EDFC17" w14:textId="77777777" w:rsidR="0078625C" w:rsidRPr="00DD4652" w:rsidRDefault="0078625C" w:rsidP="00917C19">
      <w:pPr>
        <w:spacing w:line="240" w:lineRule="auto"/>
        <w:jc w:val="both"/>
        <w:rPr>
          <w:b/>
          <w:bCs/>
          <w:sz w:val="22"/>
        </w:rPr>
      </w:pPr>
    </w:p>
    <w:p w14:paraId="299FC465" w14:textId="1FF528A5" w:rsidR="0078625C" w:rsidRPr="00DD4652" w:rsidRDefault="002A62CD" w:rsidP="0078625C">
      <w:pPr>
        <w:pStyle w:val="ListParagraph"/>
        <w:numPr>
          <w:ilvl w:val="2"/>
          <w:numId w:val="1"/>
        </w:numPr>
        <w:spacing w:line="240" w:lineRule="auto"/>
        <w:ind w:left="540" w:hanging="540"/>
        <w:jc w:val="both"/>
        <w:rPr>
          <w:rFonts w:eastAsia="Times New Roman"/>
          <w:sz w:val="22"/>
        </w:rPr>
      </w:pPr>
      <w:r w:rsidRPr="00DD4652">
        <w:rPr>
          <w:rFonts w:eastAsia="Times New Roman"/>
          <w:sz w:val="22"/>
        </w:rPr>
        <w:t>The Moderating Role of Bank Size on the Effect of NPL on Profitability</w:t>
      </w:r>
    </w:p>
    <w:p w14:paraId="4804C147" w14:textId="6A7BAB89" w:rsidR="002A62CD" w:rsidRPr="00DD4652" w:rsidRDefault="002A62CD" w:rsidP="0078625C">
      <w:pPr>
        <w:spacing w:line="240" w:lineRule="auto"/>
        <w:ind w:firstLine="540"/>
        <w:jc w:val="both"/>
        <w:rPr>
          <w:rFonts w:eastAsia="Times New Roman"/>
          <w:sz w:val="22"/>
        </w:rPr>
      </w:pPr>
      <w:r w:rsidRPr="00DD4652">
        <w:rPr>
          <w:rFonts w:eastAsia="Times New Roman"/>
          <w:sz w:val="22"/>
        </w:rPr>
        <w:t xml:space="preserve">Agency </w:t>
      </w:r>
      <w:r w:rsidR="0078625C" w:rsidRPr="00DD4652">
        <w:rPr>
          <w:rFonts w:eastAsia="Times New Roman"/>
          <w:sz w:val="22"/>
        </w:rPr>
        <w:t>t</w:t>
      </w:r>
      <w:r w:rsidRPr="00DD4652">
        <w:rPr>
          <w:rFonts w:eastAsia="Times New Roman"/>
          <w:sz w:val="22"/>
        </w:rPr>
        <w:t>heory predicts that large banks possess more effective monitoring mechanisms in controlling agency costs arising from non-performing loans. Resource-</w:t>
      </w:r>
      <w:r w:rsidR="0078625C" w:rsidRPr="00DD4652">
        <w:rPr>
          <w:rFonts w:eastAsia="Times New Roman"/>
          <w:sz w:val="22"/>
        </w:rPr>
        <w:t xml:space="preserve">based theory </w:t>
      </w:r>
      <w:r w:rsidRPr="00DD4652">
        <w:rPr>
          <w:rFonts w:eastAsia="Times New Roman"/>
          <w:sz w:val="22"/>
        </w:rPr>
        <w:t xml:space="preserve">explains that the sophisticated risk-management systems in large banks constitute VRIN resources that cannot be replicated instantly by small banks. </w:t>
      </w:r>
      <w:hyperlink w:anchor="_ENREF_17" w:tooltip="Gupta, 2026 #10224" w:history="1">
        <w:r w:rsidR="00432863" w:rsidRPr="00DD4652">
          <w:rPr>
            <w:rStyle w:val="Hyperlink"/>
            <w:rFonts w:eastAsia="Times New Roman"/>
            <w:sz w:val="22"/>
          </w:rPr>
          <w:fldChar w:fldCharType="begin"/>
        </w:r>
        <w:r w:rsidR="00432863" w:rsidRPr="00DD4652">
          <w:rPr>
            <w:rStyle w:val="Hyperlink"/>
            <w:rFonts w:eastAsia="Times New Roman"/>
            <w:sz w:val="22"/>
          </w:rPr>
          <w:instrText xml:space="preserve"> ADDIN EN.CITE &lt;EndNote&gt;&lt;Cite AuthorYear="1"&gt;&lt;Author&gt;Gupta&lt;/Author&gt;&lt;Year&gt;2026&lt;/Year&gt;&lt;RecNum&gt;10224&lt;/RecNum&gt;&lt;DisplayText&gt;Gupta and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432863" w:rsidRPr="00DD4652">
          <w:rPr>
            <w:rStyle w:val="Hyperlink"/>
            <w:rFonts w:eastAsia="Times New Roman"/>
            <w:sz w:val="22"/>
          </w:rPr>
          <w:fldChar w:fldCharType="separate"/>
        </w:r>
        <w:r w:rsidR="00432863" w:rsidRPr="00DD4652">
          <w:rPr>
            <w:rStyle w:val="Hyperlink"/>
            <w:rFonts w:eastAsia="Times New Roman"/>
            <w:sz w:val="22"/>
          </w:rPr>
          <w:t>Gupta and Bansal (2026)</w:t>
        </w:r>
        <w:r w:rsidR="00432863" w:rsidRPr="00DD4652">
          <w:rPr>
            <w:rStyle w:val="Hyperlink"/>
            <w:rFonts w:eastAsia="Times New Roman"/>
            <w:sz w:val="22"/>
          </w:rPr>
          <w:fldChar w:fldCharType="end"/>
        </w:r>
      </w:hyperlink>
      <w:r w:rsidR="00432863" w:rsidRPr="00DD4652">
        <w:rPr>
          <w:rFonts w:eastAsia="Times New Roman"/>
          <w:sz w:val="22"/>
        </w:rPr>
        <w:t xml:space="preserve"> </w:t>
      </w:r>
      <w:r w:rsidRPr="00DD4652">
        <w:rPr>
          <w:rFonts w:eastAsia="Times New Roman"/>
          <w:sz w:val="22"/>
        </w:rPr>
        <w:t xml:space="preserve">and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xml:space="preserve"> directly document that the negative impact of NPL on profitability is far greater in small banks than in large banks.</w:t>
      </w:r>
      <w:r w:rsidR="00526A80" w:rsidRPr="00DD4652">
        <w:rPr>
          <w:rFonts w:eastAsia="Times New Roman"/>
          <w:sz w:val="22"/>
        </w:rPr>
        <w:t xml:space="preserve"> </w:t>
      </w:r>
      <w:hyperlink w:anchor="_ENREF_4" w:tooltip="Arhinful, 2025 #10250" w:history="1">
        <w:r w:rsidR="00526A80" w:rsidRPr="00DD4652">
          <w:rPr>
            <w:rStyle w:val="Hyperlink"/>
            <w:rFonts w:eastAsia="Times New Roman"/>
            <w:sz w:val="22"/>
          </w:rPr>
          <w:fldChar w:fldCharType="begin"/>
        </w:r>
        <w:r w:rsidR="00526A80" w:rsidRPr="00DD4652">
          <w:rPr>
            <w:rStyle w:val="Hyperlink"/>
            <w:rFonts w:eastAsia="Times New Roman"/>
            <w:sz w:val="22"/>
          </w:rPr>
          <w:instrText xml:space="preserve"> ADDIN EN.CITE &lt;EndNote&gt;&lt;Cite AuthorYear="1"&gt;&lt;Author&gt;Arhinful&lt;/Author&gt;&lt;Year&gt;2025&lt;/Year&gt;&lt;RecNum&gt;10250&lt;/RecNum&gt;&lt;DisplayText&gt;Arhinful et al. (2025)&lt;/DisplayText&gt;&lt;record&gt;&lt;rec-number&gt;10250&lt;/rec-number&gt;&lt;foreign-keys&gt;&lt;key app="EN" db-id="x5ezdazsa9zseqe5esy5zw9wxe95pawf2e0d" timestamp="1784695544"&gt;10250&lt;/key&gt;&lt;/foreign-keys&gt;&lt;ref-type name="Journal Article"&gt;17&lt;/ref-type&gt;&lt;contributors&gt;&lt;authors&gt;&lt;author&gt;Arhinful, Richard&lt;/author&gt;&lt;author&gt;Mensah, Leviticus&lt;/author&gt;&lt;author&gt;Gyamfi, Bright Akwasi&lt;/author&gt;&lt;author&gt;Obeng, Hayford Asare&lt;/author&gt;&lt;/authors&gt;&lt;/contributors&gt;&lt;titles&gt;&lt;title&gt;The impact of non-performing loans on bank growth: The moderating roles of bank size and capital adequacy ratio evidence from US banks&lt;/title&gt;&lt;secondary-title&gt;International Journal of Financial Studies&lt;/secondary-title&gt;&lt;/titles&gt;&lt;periodical&gt;&lt;full-title&gt;International Journal of Financial Studies&lt;/full-title&gt;&lt;/periodical&gt;&lt;pages&gt;165&lt;/pages&gt;&lt;volume&gt;13&lt;/volume&gt;&lt;number&gt;3&lt;/number&gt;&lt;dates&gt;&lt;year&gt;2025&lt;/year&gt;&lt;/dates&gt;&lt;isbn&gt;2227-7072&lt;/isbn&gt;&lt;urls&gt;&lt;/urls&gt;&lt;electronic-resource-num&gt;https://doi.org/10.3390/ijfs13030165&lt;/electronic-resource-num&gt;&lt;/record&gt;&lt;/Cite&gt;&lt;/EndNote&gt;</w:instrText>
        </w:r>
        <w:r w:rsidR="00526A80" w:rsidRPr="00DD4652">
          <w:rPr>
            <w:rStyle w:val="Hyperlink"/>
            <w:rFonts w:eastAsia="Times New Roman"/>
            <w:sz w:val="22"/>
          </w:rPr>
          <w:fldChar w:fldCharType="separate"/>
        </w:r>
        <w:r w:rsidR="00526A80" w:rsidRPr="00DD4652">
          <w:rPr>
            <w:rStyle w:val="Hyperlink"/>
            <w:rFonts w:eastAsia="Times New Roman"/>
            <w:sz w:val="22"/>
          </w:rPr>
          <w:t>Arhinful et al. (2025)</w:t>
        </w:r>
        <w:r w:rsidR="00526A80" w:rsidRPr="00DD4652">
          <w:rPr>
            <w:rStyle w:val="Hyperlink"/>
            <w:rFonts w:eastAsia="Times New Roman"/>
            <w:sz w:val="22"/>
          </w:rPr>
          <w:fldChar w:fldCharType="end"/>
        </w:r>
      </w:hyperlink>
      <w:r w:rsidRPr="00DD4652">
        <w:rPr>
          <w:rFonts w:eastAsia="Times New Roman"/>
          <w:sz w:val="22"/>
        </w:rPr>
        <w:t>, in U.S. banks, prove that bank size and the capital adequacy ratio moderate the NPL</w:t>
      </w:r>
      <w:r w:rsidR="00B3266D">
        <w:rPr>
          <w:rFonts w:eastAsia="Times New Roman"/>
          <w:sz w:val="22"/>
        </w:rPr>
        <w:t>-</w:t>
      </w:r>
      <w:r w:rsidRPr="00DD4652">
        <w:rPr>
          <w:rFonts w:eastAsia="Times New Roman"/>
          <w:sz w:val="22"/>
        </w:rPr>
        <w:t>bank growth relationship. Therefore, the fourth hypothesis is formulated as follows:</w:t>
      </w:r>
    </w:p>
    <w:p w14:paraId="79779143" w14:textId="3DB1E390" w:rsidR="002A62CD" w:rsidRPr="00DD4652" w:rsidRDefault="002A62CD" w:rsidP="0078625C">
      <w:pPr>
        <w:spacing w:line="240" w:lineRule="auto"/>
        <w:ind w:firstLine="540"/>
        <w:jc w:val="both"/>
        <w:rPr>
          <w:rFonts w:eastAsia="Times New Roman"/>
          <w:sz w:val="22"/>
        </w:rPr>
      </w:pPr>
      <w:r w:rsidRPr="00DD4652">
        <w:rPr>
          <w:rFonts w:eastAsia="Times New Roman"/>
          <w:i/>
          <w:iCs/>
          <w:sz w:val="22"/>
        </w:rPr>
        <w:t>H</w:t>
      </w:r>
      <w:r w:rsidRPr="00DD4652">
        <w:rPr>
          <w:rFonts w:eastAsia="Times New Roman"/>
          <w:i/>
          <w:iCs/>
          <w:sz w:val="22"/>
          <w:vertAlign w:val="subscript"/>
        </w:rPr>
        <w:t>4</w:t>
      </w:r>
      <w:r w:rsidRPr="00DD4652">
        <w:rPr>
          <w:rFonts w:eastAsia="Times New Roman"/>
          <w:sz w:val="22"/>
        </w:rPr>
        <w:t>: Bank size moderates the effect of Non-Performing Loan (NPL) on bank profitability</w:t>
      </w:r>
    </w:p>
    <w:p w14:paraId="6B9B693C" w14:textId="77777777" w:rsidR="00FC45DE" w:rsidRPr="00DD4652" w:rsidRDefault="00FC45DE" w:rsidP="00917C19">
      <w:pPr>
        <w:spacing w:line="240" w:lineRule="auto"/>
        <w:jc w:val="both"/>
        <w:rPr>
          <w:sz w:val="22"/>
        </w:rPr>
      </w:pPr>
    </w:p>
    <w:p w14:paraId="7B0CBAB0" w14:textId="0E6DD91C" w:rsidR="002A62CD" w:rsidRPr="00DD4652" w:rsidRDefault="002A62CD" w:rsidP="0078625C">
      <w:pPr>
        <w:pStyle w:val="ListParagraph"/>
        <w:numPr>
          <w:ilvl w:val="0"/>
          <w:numId w:val="1"/>
        </w:numPr>
        <w:spacing w:line="240" w:lineRule="auto"/>
        <w:ind w:left="540" w:hanging="540"/>
        <w:rPr>
          <w:sz w:val="22"/>
        </w:rPr>
      </w:pPr>
      <w:r w:rsidRPr="00DD4652">
        <w:rPr>
          <w:rFonts w:eastAsia="Times New Roman"/>
          <w:b/>
          <w:bCs/>
          <w:sz w:val="22"/>
        </w:rPr>
        <w:t>METHODOLOGY</w:t>
      </w:r>
    </w:p>
    <w:p w14:paraId="3262DBD0" w14:textId="6BB187EC" w:rsidR="002A62CD" w:rsidRPr="00DD4652" w:rsidRDefault="002A62CD" w:rsidP="0078625C">
      <w:pPr>
        <w:spacing w:line="240" w:lineRule="auto"/>
        <w:ind w:firstLine="540"/>
        <w:jc w:val="both"/>
        <w:rPr>
          <w:sz w:val="22"/>
        </w:rPr>
      </w:pPr>
      <w:r w:rsidRPr="00DD4652">
        <w:rPr>
          <w:rFonts w:eastAsia="Times New Roman"/>
          <w:sz w:val="22"/>
        </w:rPr>
        <w:t xml:space="preserve">This study is quantitative in nature with an explanatory research approach, namely research that aims to explain the causal relationships among variables through hypothesis testing. This approach is selected because the research objective is not merely to describe a phenomenon, but to explain how green credit and NPL affect ROA, and to test whether bank size moderates these relationships. The data used are secondary data in the form of ratio-scale quantitative data, sourced from audited annual financial reports and sustainability reports published by each bank through the </w:t>
      </w:r>
      <w:r w:rsidRPr="00DD4652">
        <w:rPr>
          <w:rFonts w:eastAsia="Times New Roman"/>
          <w:sz w:val="22"/>
        </w:rPr>
        <w:lastRenderedPageBreak/>
        <w:t>official website of the Indonesia Stock Exchange (IDX) and the banks' official websites. The research population comprises all conventional commercial banks listed on the IDX during the 2021</w:t>
      </w:r>
      <w:r w:rsidR="00B3266D">
        <w:rPr>
          <w:rFonts w:eastAsia="Times New Roman"/>
          <w:sz w:val="22"/>
        </w:rPr>
        <w:t>-</w:t>
      </w:r>
      <w:r w:rsidRPr="00DD4652">
        <w:rPr>
          <w:rFonts w:eastAsia="Times New Roman"/>
          <w:sz w:val="22"/>
        </w:rPr>
        <w:t>2024 period, totaling 47 banks. Sampling was conducted using the purposive sampling technique based on the criteria of availability of audited annual financial statements and explicit disclosure of green credit data during the observation period, resulting in 41 banks as the final sample, generating 164 balanced-panel observations. The analytical tool used is panel data regression with the Moderated Regression Analysis (MRA) approach, processed using EViews software version 12.</w:t>
      </w:r>
    </w:p>
    <w:p w14:paraId="1597875E" w14:textId="299782B3" w:rsidR="002A62CD" w:rsidRPr="00DD4652" w:rsidRDefault="002A62CD" w:rsidP="0078625C">
      <w:pPr>
        <w:spacing w:line="240" w:lineRule="auto"/>
        <w:ind w:firstLine="540"/>
        <w:jc w:val="both"/>
        <w:rPr>
          <w:sz w:val="22"/>
        </w:rPr>
      </w:pPr>
      <w:r w:rsidRPr="00DD4652">
        <w:rPr>
          <w:rFonts w:eastAsia="Times New Roman"/>
          <w:sz w:val="22"/>
        </w:rPr>
        <w:t>The selection of the panel-data estimation model was carried out hierarchically through three statistical tests. The Chow test (F-test) was used to compare the Pooled Least Square (PLS) and the Fixed Effect Model (FEM)</w:t>
      </w:r>
      <w:r w:rsidR="0078625C" w:rsidRPr="00DD4652">
        <w:rPr>
          <w:rFonts w:eastAsia="Times New Roman"/>
          <w:sz w:val="22"/>
        </w:rPr>
        <w:t>,</w:t>
      </w:r>
      <w:r w:rsidRPr="00DD4652">
        <w:rPr>
          <w:rFonts w:eastAsia="Times New Roman"/>
          <w:sz w:val="22"/>
        </w:rPr>
        <w:t xml:space="preserve"> if the Cross-section Chi-square probability is &lt;0.05, FEM is selected. Subsequently, the Hausman test was used to compare FEM with the Random Effect Model (REM)</w:t>
      </w:r>
      <w:r w:rsidR="0078625C" w:rsidRPr="00DD4652">
        <w:rPr>
          <w:rFonts w:eastAsia="Times New Roman"/>
          <w:sz w:val="22"/>
        </w:rPr>
        <w:t xml:space="preserve">, </w:t>
      </w:r>
      <w:r w:rsidRPr="00DD4652">
        <w:rPr>
          <w:rFonts w:eastAsia="Times New Roman"/>
          <w:sz w:val="22"/>
        </w:rPr>
        <w:t xml:space="preserve">if the Cross-section random probability is &lt;0.05, FEM is selected. If the Hausman test favors REM, the analysis is followed by the Breusch-Pagan Lagrange Multiplier (LM) test to compare PLS with REM. </w:t>
      </w:r>
      <w:r w:rsidR="00A63354" w:rsidRPr="00DD4652">
        <w:rPr>
          <w:rFonts w:eastAsia="Times New Roman"/>
          <w:sz w:val="22"/>
        </w:rPr>
        <w:t>After the model has been chosen, a battery of classical assumption tests is conducted. Residual normality is assessed using the Jarque-Bera test</w:t>
      </w:r>
      <w:r w:rsidR="0078625C" w:rsidRPr="00DD4652">
        <w:rPr>
          <w:rFonts w:eastAsia="Times New Roman"/>
          <w:sz w:val="22"/>
        </w:rPr>
        <w:t>,</w:t>
      </w:r>
      <w:r w:rsidR="00A63354" w:rsidRPr="00DD4652">
        <w:rPr>
          <w:rFonts w:eastAsia="Times New Roman"/>
          <w:sz w:val="22"/>
        </w:rPr>
        <w:t xml:space="preserve"> based on the Central Limit Theorem, the normality assumption becomes less critical when the number of observations is sufficient (N&gt;30), though it is still reported to ensure the validity of statistical inference</w:t>
      </w:r>
      <w:r w:rsidR="00AD6B19" w:rsidRPr="00DD4652">
        <w:rPr>
          <w:rFonts w:eastAsia="Times New Roman"/>
          <w:sz w:val="22"/>
        </w:rPr>
        <w:t xml:space="preserve"> </w:t>
      </w:r>
      <w:r w:rsidR="00AD6B19" w:rsidRPr="00DD4652">
        <w:rPr>
          <w:rFonts w:eastAsia="Times New Roman"/>
          <w:sz w:val="22"/>
        </w:rPr>
        <w:fldChar w:fldCharType="begin"/>
      </w:r>
      <w:r w:rsidR="00AD6B19" w:rsidRPr="00DD4652">
        <w:rPr>
          <w:rFonts w:eastAsia="Times New Roman"/>
          <w:sz w:val="22"/>
        </w:rPr>
        <w:instrText xml:space="preserve"> ADDIN EN.CITE &lt;EndNote&gt;&lt;Cite&gt;&lt;Author&gt;Ghozali&lt;/Author&gt;&lt;Year&gt;2018&lt;/Year&gt;&lt;RecNum&gt;3460&lt;/RecNum&gt;&lt;DisplayText&gt;(Ghozali, 2018)&lt;/DisplayText&gt;&lt;record&gt;&lt;rec-number&gt;3460&lt;/rec-number&gt;&lt;foreign-keys&gt;&lt;key app="EN" db-id="x5ezdazsa9zseqe5esy5zw9wxe95pawf2e0d" timestamp="1769745134"&gt;3460&lt;/key&gt;&lt;/foreign-keys&gt;&lt;ref-type name="Book"&gt;6&lt;/ref-type&gt;&lt;contributors&gt;&lt;authors&gt;&lt;author&gt;Ghozali, Imam&lt;/author&gt;&lt;/authors&gt;&lt;/contributors&gt;&lt;titles&gt;&lt;title&gt;Aplikasi analisis multivariate dengan program IBM SPSS 25&lt;/title&gt;&lt;/titles&gt;&lt;dates&gt;&lt;year&gt;2018&lt;/year&gt;&lt;/dates&gt;&lt;urls&gt;&lt;/urls&gt;&lt;/record&gt;&lt;/Cite&gt;&lt;/EndNote&gt;</w:instrText>
      </w:r>
      <w:r w:rsidR="00AD6B19" w:rsidRPr="00DD4652">
        <w:rPr>
          <w:rFonts w:eastAsia="Times New Roman"/>
          <w:sz w:val="22"/>
        </w:rPr>
        <w:fldChar w:fldCharType="separate"/>
      </w:r>
      <w:r w:rsidR="00AD6B19" w:rsidRPr="00DD4652">
        <w:rPr>
          <w:rFonts w:eastAsia="Times New Roman"/>
          <w:sz w:val="22"/>
        </w:rPr>
        <w:t>(</w:t>
      </w:r>
      <w:hyperlink w:anchor="_ENREF_16" w:tooltip="Ghozali, 2018 #3460" w:history="1">
        <w:r w:rsidR="00AD6B19" w:rsidRPr="00DD4652">
          <w:rPr>
            <w:rStyle w:val="Hyperlink"/>
            <w:rFonts w:eastAsia="Times New Roman"/>
            <w:sz w:val="22"/>
          </w:rPr>
          <w:t>Ghozali, 2018</w:t>
        </w:r>
      </w:hyperlink>
      <w:r w:rsidR="00AD6B19" w:rsidRPr="00DD4652">
        <w:rPr>
          <w:rFonts w:eastAsia="Times New Roman"/>
          <w:sz w:val="22"/>
        </w:rPr>
        <w:t>)</w:t>
      </w:r>
      <w:r w:rsidR="00AD6B19" w:rsidRPr="00DD4652">
        <w:rPr>
          <w:rFonts w:eastAsia="Times New Roman"/>
          <w:sz w:val="22"/>
        </w:rPr>
        <w:fldChar w:fldCharType="end"/>
      </w:r>
      <w:r w:rsidR="00A63354" w:rsidRPr="00DD4652">
        <w:rPr>
          <w:rFonts w:eastAsia="Times New Roman"/>
          <w:sz w:val="22"/>
        </w:rPr>
        <w:t>. Multicollinearity is examined through Variance Inflation Factors (VIF), with values below 10 indicating the absence of serious multicollinearity. Heteroskedasticity is tested using the Breusch-Pagan-Godfrey test, and autocorrelation is evaluated through the Durbin Watson statistic. Where heteroskedasticity is detected, White cross-section robust standard errors are applied.</w:t>
      </w:r>
    </w:p>
    <w:p w14:paraId="7130DB97" w14:textId="2801A365" w:rsidR="002A62CD" w:rsidRPr="00DD4652" w:rsidRDefault="002A62CD" w:rsidP="0078625C">
      <w:pPr>
        <w:spacing w:line="240" w:lineRule="auto"/>
        <w:ind w:firstLine="540"/>
        <w:jc w:val="both"/>
        <w:rPr>
          <w:rFonts w:eastAsia="Times New Roman"/>
          <w:sz w:val="22"/>
        </w:rPr>
      </w:pPr>
      <w:r w:rsidRPr="00DD4652">
        <w:rPr>
          <w:rFonts w:eastAsia="Times New Roman"/>
          <w:sz w:val="22"/>
        </w:rPr>
        <w:t>Hypothesis testing was conducted through Moderated Regression Analysis (MRA) developed by</w:t>
      </w:r>
      <w:r w:rsidR="0000188C" w:rsidRPr="00DD4652">
        <w:rPr>
          <w:rFonts w:eastAsia="Times New Roman"/>
          <w:color w:val="000000"/>
          <w:sz w:val="22"/>
        </w:rPr>
        <w:t xml:space="preserve"> </w:t>
      </w:r>
      <w:hyperlink w:anchor="_ENREF_7" w:tooltip="Baron, 1986 #10255" w:history="1">
        <w:r w:rsidR="0000188C" w:rsidRPr="00DD4652">
          <w:rPr>
            <w:rStyle w:val="Hyperlink"/>
            <w:rFonts w:eastAsia="Times New Roman"/>
            <w:sz w:val="22"/>
          </w:rPr>
          <w:fldChar w:fldCharType="begin"/>
        </w:r>
        <w:r w:rsidR="0000188C" w:rsidRPr="00DD4652">
          <w:rPr>
            <w:rStyle w:val="Hyperlink"/>
            <w:rFonts w:eastAsia="Times New Roman"/>
            <w:sz w:val="22"/>
          </w:rPr>
          <w:instrText xml:space="preserve"> ADDIN EN.CITE &lt;EndNote&gt;&lt;Cite AuthorYear="1"&gt;&lt;Author&gt;Baron&lt;/Author&gt;&lt;Year&gt;1986&lt;/Year&gt;&lt;RecNum&gt;10255&lt;/RecNum&gt;&lt;DisplayText&gt;Baron and Kenny (1986)&lt;/DisplayText&gt;&lt;record&gt;&lt;rec-number&gt;10255&lt;/rec-number&gt;&lt;foreign-keys&gt;&lt;key app="EN" db-id="x5ezdazsa9zseqe5esy5zw9wxe95pawf2e0d" timestamp="1784700243"&gt;10255&lt;/key&gt;&lt;/foreign-keys&gt;&lt;ref-type name="Journal Article"&gt;17&lt;/ref-type&gt;&lt;contributors&gt;&lt;authors&gt;&lt;author&gt;Baron, Reuben M&lt;/author&gt;&lt;author&gt;Kenny, David A&lt;/author&gt;&lt;/authors&gt;&lt;/contributors&gt;&lt;titles&gt;&lt;title&gt;The moderator–mediator variable distinction in social psychological research: Conceptual, strategic, and statistical considerations&lt;/title&gt;&lt;secondary-title&gt;Journal of personality and social psychology&lt;/secondary-title&gt;&lt;/titles&gt;&lt;periodical&gt;&lt;full-title&gt;Journal of Personality and Social Psychology&lt;/full-title&gt;&lt;/periodical&gt;&lt;pages&gt;1173&lt;/pages&gt;&lt;volume&gt;51&lt;/volume&gt;&lt;number&gt;6&lt;/number&gt;&lt;dates&gt;&lt;year&gt;1986&lt;/year&gt;&lt;/dates&gt;&lt;isbn&gt;1939-1315&lt;/isbn&gt;&lt;urls&gt;&lt;/urls&gt;&lt;electronic-resource-num&gt;https://doi.org/10.1037//0022-3514.51.6.1173&lt;/electronic-resource-num&gt;&lt;/record&gt;&lt;/Cite&gt;&lt;/EndNote&gt;</w:instrText>
        </w:r>
        <w:r w:rsidR="0000188C" w:rsidRPr="00DD4652">
          <w:rPr>
            <w:rStyle w:val="Hyperlink"/>
            <w:rFonts w:eastAsia="Times New Roman"/>
            <w:sz w:val="22"/>
          </w:rPr>
          <w:fldChar w:fldCharType="separate"/>
        </w:r>
        <w:r w:rsidR="0000188C" w:rsidRPr="00DD4652">
          <w:rPr>
            <w:rStyle w:val="Hyperlink"/>
            <w:rFonts w:eastAsia="Times New Roman"/>
            <w:sz w:val="22"/>
          </w:rPr>
          <w:t>Baron and Kenny (1986)</w:t>
        </w:r>
        <w:r w:rsidR="0000188C" w:rsidRPr="00DD4652">
          <w:rPr>
            <w:rStyle w:val="Hyperlink"/>
            <w:rFonts w:eastAsia="Times New Roman"/>
            <w:sz w:val="22"/>
          </w:rPr>
          <w:fldChar w:fldCharType="end"/>
        </w:r>
      </w:hyperlink>
      <w:r w:rsidRPr="00DD4652">
        <w:rPr>
          <w:rFonts w:eastAsia="Times New Roman"/>
          <w:sz w:val="22"/>
        </w:rPr>
        <w:t xml:space="preserve">. Prior to constructing the interaction variables, all independent and moderating variables were mean-centered to reduce multicollinearity and to produce more meaningful interpretations of the main coefficients. </w:t>
      </w:r>
      <w:r w:rsidR="00C53BB4" w:rsidRPr="00DD4652">
        <w:rPr>
          <w:rFonts w:eastAsia="Times New Roman"/>
          <w:sz w:val="22"/>
        </w:rPr>
        <w:t>Post-estimation variance inflation factors confirmed the effectiveness of this procedure (all VIFs&lt;2).</w:t>
      </w:r>
      <w:r w:rsidR="00C53BB4" w:rsidRPr="00DD4652">
        <w:rPr>
          <w:rFonts w:eastAsia="Times New Roman"/>
          <w:b/>
          <w:bCs/>
          <w:sz w:val="22"/>
        </w:rPr>
        <w:t xml:space="preserve"> </w:t>
      </w:r>
      <w:r w:rsidRPr="00DD4652">
        <w:rPr>
          <w:rFonts w:eastAsia="Times New Roman"/>
          <w:sz w:val="22"/>
        </w:rPr>
        <w:t>The MRA regression-model equation is formulated as follows:</w:t>
      </w:r>
    </w:p>
    <w:p w14:paraId="32B1EEAB" w14:textId="77777777" w:rsidR="0078625C" w:rsidRPr="00DD4652" w:rsidRDefault="0078625C" w:rsidP="0078625C">
      <w:pPr>
        <w:spacing w:line="240" w:lineRule="auto"/>
        <w:jc w:val="both"/>
        <w:rPr>
          <w:rFonts w:eastAsia="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78625C" w:rsidRPr="00DD4652" w14:paraId="00BF2261" w14:textId="77777777" w:rsidTr="0078625C">
        <w:tc>
          <w:tcPr>
            <w:tcW w:w="8365" w:type="dxa"/>
          </w:tcPr>
          <w:p w14:paraId="08C0F3E1" w14:textId="0348D8A8" w:rsidR="0078625C" w:rsidRPr="00DD4652" w:rsidRDefault="0078625C" w:rsidP="0078625C">
            <w:pPr>
              <w:spacing w:line="240" w:lineRule="auto"/>
              <w:jc w:val="both"/>
              <w:rPr>
                <w:sz w:val="22"/>
              </w:rPr>
            </w:pPr>
            <m:oMathPara>
              <m:oMath>
                <m:r>
                  <m:rPr>
                    <m:sty m:val="p"/>
                  </m:rPr>
                  <w:rPr>
                    <w:rFonts w:ascii="Cambria Math" w:eastAsia="Times New Roman" w:hAnsi="Cambria Math"/>
                    <w:sz w:val="22"/>
                  </w:rPr>
                  <m:t>ROA = α + β₁GCR + β₂NPL + β₃SIZE + β₄(GCR×SIZE) + β₅(NPL×SIZE) + ε</m:t>
                </m:r>
              </m:oMath>
            </m:oMathPara>
          </w:p>
        </w:tc>
        <w:tc>
          <w:tcPr>
            <w:tcW w:w="413" w:type="dxa"/>
          </w:tcPr>
          <w:p w14:paraId="6D58BFB3" w14:textId="6AB34A2F" w:rsidR="0078625C" w:rsidRPr="00DD4652" w:rsidRDefault="0078625C" w:rsidP="0078625C">
            <w:pPr>
              <w:spacing w:line="240" w:lineRule="auto"/>
              <w:jc w:val="both"/>
              <w:rPr>
                <w:sz w:val="22"/>
              </w:rPr>
            </w:pPr>
            <w:r w:rsidRPr="00DD4652">
              <w:rPr>
                <w:sz w:val="22"/>
              </w:rPr>
              <w:t>(5)</w:t>
            </w:r>
          </w:p>
        </w:tc>
      </w:tr>
    </w:tbl>
    <w:p w14:paraId="6BB394B7" w14:textId="77777777" w:rsidR="0078625C" w:rsidRPr="00DD4652" w:rsidRDefault="0078625C" w:rsidP="0078625C">
      <w:pPr>
        <w:spacing w:line="240" w:lineRule="auto"/>
        <w:jc w:val="both"/>
        <w:rPr>
          <w:sz w:val="22"/>
        </w:rPr>
      </w:pPr>
    </w:p>
    <w:p w14:paraId="151A1669" w14:textId="0034613C" w:rsidR="002A62CD" w:rsidRPr="00DD4652" w:rsidRDefault="00950E71" w:rsidP="0078625C">
      <w:pPr>
        <w:spacing w:line="240" w:lineRule="auto"/>
        <w:ind w:firstLine="540"/>
        <w:jc w:val="both"/>
        <w:rPr>
          <w:rFonts w:eastAsia="Times New Roman"/>
          <w:sz w:val="22"/>
        </w:rPr>
      </w:pPr>
      <w:r w:rsidRPr="00DD4652">
        <w:rPr>
          <w:rFonts w:eastAsia="Times New Roman"/>
          <w:sz w:val="22"/>
        </w:rPr>
        <w:t>Formula 5 shows h</w:t>
      </w:r>
      <w:r w:rsidR="002A62CD" w:rsidRPr="00DD4652">
        <w:rPr>
          <w:rFonts w:eastAsia="Times New Roman"/>
          <w:sz w:val="22"/>
        </w:rPr>
        <w:t>ypothesis testing was conducted at the significance level α=5% (0</w:t>
      </w:r>
      <w:r w:rsidR="009D09A7" w:rsidRPr="00DD4652">
        <w:rPr>
          <w:rFonts w:eastAsia="Times New Roman"/>
          <w:sz w:val="22"/>
        </w:rPr>
        <w:t>.</w:t>
      </w:r>
      <w:r w:rsidR="002A62CD" w:rsidRPr="00DD4652">
        <w:rPr>
          <w:rFonts w:eastAsia="Times New Roman"/>
          <w:sz w:val="22"/>
        </w:rPr>
        <w:t>05). The F-test (simultaneous test) is used to assess the overall fitness of the model, where the model is deemed fit if the F-</w:t>
      </w:r>
      <w:proofErr w:type="spellStart"/>
      <w:r w:rsidR="002A62CD" w:rsidRPr="00DD4652">
        <w:rPr>
          <w:rFonts w:eastAsia="Times New Roman"/>
          <w:sz w:val="22"/>
        </w:rPr>
        <w:t>statistic</w:t>
      </w:r>
      <w:proofErr w:type="spellEnd"/>
      <w:r w:rsidR="002A62CD" w:rsidRPr="00DD4652">
        <w:rPr>
          <w:rFonts w:eastAsia="Times New Roman"/>
          <w:sz w:val="22"/>
        </w:rPr>
        <w:t xml:space="preserve"> probability is &lt;0</w:t>
      </w:r>
      <w:r w:rsidR="009D09A7" w:rsidRPr="00DD4652">
        <w:rPr>
          <w:rFonts w:eastAsia="Times New Roman"/>
          <w:sz w:val="22"/>
        </w:rPr>
        <w:t>.</w:t>
      </w:r>
      <w:r w:rsidR="002A62CD" w:rsidRPr="00DD4652">
        <w:rPr>
          <w:rFonts w:eastAsia="Times New Roman"/>
          <w:sz w:val="22"/>
        </w:rPr>
        <w:t>05. The t-test (partial test) is used to examine the significance of the effect of each independent variable and interaction variable on ROA, where a variable is deemed to have a significant effect if the t-</w:t>
      </w:r>
      <w:proofErr w:type="spellStart"/>
      <w:r w:rsidR="002A62CD" w:rsidRPr="00DD4652">
        <w:rPr>
          <w:rFonts w:eastAsia="Times New Roman"/>
          <w:sz w:val="22"/>
        </w:rPr>
        <w:t>statistic</w:t>
      </w:r>
      <w:proofErr w:type="spellEnd"/>
      <w:r w:rsidR="002A62CD" w:rsidRPr="00DD4652">
        <w:rPr>
          <w:rFonts w:eastAsia="Times New Roman"/>
          <w:sz w:val="22"/>
        </w:rPr>
        <w:t xml:space="preserve"> probability is &lt;0</w:t>
      </w:r>
      <w:r w:rsidR="009D09A7" w:rsidRPr="00DD4652">
        <w:rPr>
          <w:rFonts w:eastAsia="Times New Roman"/>
          <w:sz w:val="22"/>
        </w:rPr>
        <w:t>.</w:t>
      </w:r>
      <w:r w:rsidR="002A62CD" w:rsidRPr="00DD4652">
        <w:rPr>
          <w:rFonts w:eastAsia="Times New Roman"/>
          <w:sz w:val="22"/>
        </w:rPr>
        <w:t>05</w:t>
      </w:r>
      <w:r w:rsidR="00AD6B19" w:rsidRPr="00DD4652">
        <w:rPr>
          <w:rFonts w:eastAsia="Times New Roman"/>
          <w:color w:val="000000"/>
          <w:sz w:val="22"/>
        </w:rPr>
        <w:t xml:space="preserve"> </w:t>
      </w:r>
      <w:r w:rsidR="00AD6B19" w:rsidRPr="00DD4652">
        <w:rPr>
          <w:rFonts w:eastAsia="Times New Roman"/>
          <w:color w:val="000000"/>
          <w:sz w:val="22"/>
        </w:rPr>
        <w:fldChar w:fldCharType="begin"/>
      </w:r>
      <w:r w:rsidR="00AD6B19" w:rsidRPr="00DD4652">
        <w:rPr>
          <w:rFonts w:eastAsia="Times New Roman"/>
          <w:color w:val="000000"/>
          <w:sz w:val="22"/>
        </w:rPr>
        <w:instrText xml:space="preserve"> ADDIN EN.CITE &lt;EndNote&gt;&lt;Cite&gt;&lt;Author&gt;Ghozali&lt;/Author&gt;&lt;Year&gt;2018&lt;/Year&gt;&lt;RecNum&gt;3460&lt;/RecNum&gt;&lt;DisplayText&gt;(Ghozali, 2018)&lt;/DisplayText&gt;&lt;record&gt;&lt;rec-number&gt;3460&lt;/rec-number&gt;&lt;foreign-keys&gt;&lt;key app="EN" db-id="x5ezdazsa9zseqe5esy5zw9wxe95pawf2e0d" timestamp="1769745134"&gt;3460&lt;/key&gt;&lt;/foreign-keys&gt;&lt;ref-type name="Book"&gt;6&lt;/ref-type&gt;&lt;contributors&gt;&lt;authors&gt;&lt;author&gt;Ghozali, Imam&lt;/author&gt;&lt;/authors&gt;&lt;/contributors&gt;&lt;titles&gt;&lt;title&gt;Aplikasi analisis multivariate dengan program IBM SPSS 25&lt;/title&gt;&lt;/titles&gt;&lt;dates&gt;&lt;year&gt;2018&lt;/year&gt;&lt;/dates&gt;&lt;urls&gt;&lt;/urls&gt;&lt;/record&gt;&lt;/Cite&gt;&lt;/EndNote&gt;</w:instrText>
      </w:r>
      <w:r w:rsidR="00AD6B19" w:rsidRPr="00DD4652">
        <w:rPr>
          <w:rFonts w:eastAsia="Times New Roman"/>
          <w:color w:val="000000"/>
          <w:sz w:val="22"/>
        </w:rPr>
        <w:fldChar w:fldCharType="separate"/>
      </w:r>
      <w:r w:rsidR="00AD6B19" w:rsidRPr="00DD4652">
        <w:rPr>
          <w:rFonts w:eastAsia="Times New Roman"/>
          <w:color w:val="000000"/>
          <w:sz w:val="22"/>
        </w:rPr>
        <w:t>(</w:t>
      </w:r>
      <w:hyperlink w:anchor="_ENREF_16" w:tooltip="Ghozali, 2018 #3460" w:history="1">
        <w:r w:rsidR="00AD6B19" w:rsidRPr="00DD4652">
          <w:rPr>
            <w:rStyle w:val="Hyperlink"/>
            <w:rFonts w:eastAsia="Times New Roman"/>
            <w:sz w:val="22"/>
          </w:rPr>
          <w:t>Ghozali, 2018</w:t>
        </w:r>
      </w:hyperlink>
      <w:r w:rsidR="00AD6B19" w:rsidRPr="00DD4652">
        <w:rPr>
          <w:rFonts w:eastAsia="Times New Roman"/>
          <w:color w:val="000000"/>
          <w:sz w:val="22"/>
        </w:rPr>
        <w:t>)</w:t>
      </w:r>
      <w:r w:rsidR="00AD6B19" w:rsidRPr="00DD4652">
        <w:rPr>
          <w:rFonts w:eastAsia="Times New Roman"/>
          <w:color w:val="000000"/>
          <w:sz w:val="22"/>
        </w:rPr>
        <w:fldChar w:fldCharType="end"/>
      </w:r>
      <w:r w:rsidR="002A62CD" w:rsidRPr="00DD4652">
        <w:rPr>
          <w:rFonts w:eastAsia="Times New Roman"/>
          <w:sz w:val="22"/>
        </w:rPr>
        <w:t xml:space="preserve">. The significance of the coefficients β₁ and β₂, respectively, provides empirical evidence for </w:t>
      </w:r>
      <w:r w:rsidR="002A62CD" w:rsidRPr="00DD4652">
        <w:rPr>
          <w:rFonts w:eastAsia="Times New Roman"/>
          <w:i/>
          <w:iCs/>
          <w:sz w:val="22"/>
        </w:rPr>
        <w:t>H</w:t>
      </w:r>
      <w:r w:rsidR="002A62CD" w:rsidRPr="00DD4652">
        <w:rPr>
          <w:rFonts w:eastAsia="Times New Roman"/>
          <w:i/>
          <w:iCs/>
          <w:sz w:val="22"/>
          <w:vertAlign w:val="subscript"/>
        </w:rPr>
        <w:t>1</w:t>
      </w:r>
      <w:r w:rsidR="002A62CD" w:rsidRPr="00DD4652">
        <w:rPr>
          <w:rFonts w:eastAsia="Times New Roman"/>
          <w:sz w:val="22"/>
        </w:rPr>
        <w:t xml:space="preserve"> and </w:t>
      </w:r>
      <w:r w:rsidR="002A62CD" w:rsidRPr="00DD4652">
        <w:rPr>
          <w:rFonts w:eastAsia="Times New Roman"/>
          <w:i/>
          <w:iCs/>
          <w:sz w:val="22"/>
        </w:rPr>
        <w:t>H</w:t>
      </w:r>
      <w:r w:rsidR="002A62CD" w:rsidRPr="00DD4652">
        <w:rPr>
          <w:rFonts w:eastAsia="Times New Roman"/>
          <w:i/>
          <w:iCs/>
          <w:sz w:val="22"/>
          <w:vertAlign w:val="subscript"/>
        </w:rPr>
        <w:t>2</w:t>
      </w:r>
      <w:r w:rsidR="002A62CD" w:rsidRPr="00DD4652">
        <w:rPr>
          <w:rFonts w:eastAsia="Times New Roman"/>
          <w:sz w:val="22"/>
        </w:rPr>
        <w:t xml:space="preserve">, while the significance of the coefficients β₄ and β₅ provides empirical evidence for </w:t>
      </w:r>
      <w:r w:rsidR="002A62CD" w:rsidRPr="00DD4652">
        <w:rPr>
          <w:rFonts w:eastAsia="Times New Roman"/>
          <w:i/>
          <w:iCs/>
          <w:sz w:val="22"/>
        </w:rPr>
        <w:t>H</w:t>
      </w:r>
      <w:r w:rsidR="002A62CD" w:rsidRPr="00DD4652">
        <w:rPr>
          <w:rFonts w:eastAsia="Times New Roman"/>
          <w:i/>
          <w:iCs/>
          <w:sz w:val="22"/>
          <w:vertAlign w:val="subscript"/>
        </w:rPr>
        <w:t>3</w:t>
      </w:r>
      <w:r w:rsidR="002A62CD" w:rsidRPr="00DD4652">
        <w:rPr>
          <w:rFonts w:eastAsia="Times New Roman"/>
          <w:sz w:val="22"/>
        </w:rPr>
        <w:t xml:space="preserve"> and </w:t>
      </w:r>
      <w:r w:rsidR="002A62CD" w:rsidRPr="00DD4652">
        <w:rPr>
          <w:rFonts w:eastAsia="Times New Roman"/>
          <w:i/>
          <w:iCs/>
          <w:sz w:val="22"/>
        </w:rPr>
        <w:t>H</w:t>
      </w:r>
      <w:r w:rsidR="002A62CD" w:rsidRPr="00DD4652">
        <w:rPr>
          <w:rFonts w:eastAsia="Times New Roman"/>
          <w:i/>
          <w:iCs/>
          <w:sz w:val="22"/>
          <w:vertAlign w:val="subscript"/>
        </w:rPr>
        <w:t>4</w:t>
      </w:r>
      <w:r w:rsidR="002A62CD" w:rsidRPr="00DD4652">
        <w:rPr>
          <w:rFonts w:eastAsia="Times New Roman"/>
          <w:sz w:val="22"/>
        </w:rPr>
        <w:t>. The Coefficient of Determination (</w:t>
      </w:r>
      <w:r w:rsidR="002A62CD" w:rsidRPr="00DD4652">
        <w:rPr>
          <w:rFonts w:eastAsia="Times New Roman"/>
          <w:i/>
          <w:iCs/>
          <w:sz w:val="22"/>
        </w:rPr>
        <w:t>R²</w:t>
      </w:r>
      <w:r w:rsidR="002A62CD" w:rsidRPr="00DD4652">
        <w:rPr>
          <w:rFonts w:eastAsia="Times New Roman"/>
          <w:sz w:val="22"/>
        </w:rPr>
        <w:t xml:space="preserve"> and Adjusted </w:t>
      </w:r>
      <w:r w:rsidR="002A62CD" w:rsidRPr="00DD4652">
        <w:rPr>
          <w:rFonts w:eastAsia="Times New Roman"/>
          <w:i/>
          <w:iCs/>
          <w:sz w:val="22"/>
        </w:rPr>
        <w:t>R²</w:t>
      </w:r>
      <w:r w:rsidR="002A62CD" w:rsidRPr="00DD4652">
        <w:rPr>
          <w:rFonts w:eastAsia="Times New Roman"/>
          <w:sz w:val="22"/>
        </w:rPr>
        <w:t xml:space="preserve">) is used to measure how much variation in the dependent variable can be explained by the independent variables in the model. If the moderating effect is proven significant, simple slope analysis is performed to interpret the direction of moderation under three bank-size conditions, namely small banks (mean </w:t>
      </w:r>
      <w:r w:rsidR="00B3266D">
        <w:rPr>
          <w:rFonts w:eastAsia="Times New Roman"/>
          <w:sz w:val="22"/>
        </w:rPr>
        <w:t>-</w:t>
      </w:r>
      <w:r w:rsidR="002A62CD" w:rsidRPr="00DD4652">
        <w:rPr>
          <w:rFonts w:eastAsia="Times New Roman"/>
          <w:sz w:val="22"/>
        </w:rPr>
        <w:t xml:space="preserve"> 1 SD), medium banks (mean), and large banks (mean + 1 SD).</w:t>
      </w:r>
    </w:p>
    <w:p w14:paraId="536117DC" w14:textId="77777777" w:rsidR="00950E71" w:rsidRPr="00DD4652" w:rsidRDefault="00950E71" w:rsidP="0078625C">
      <w:pPr>
        <w:spacing w:line="240" w:lineRule="auto"/>
        <w:ind w:firstLine="540"/>
        <w:jc w:val="both"/>
        <w:rPr>
          <w:sz w:val="22"/>
        </w:rPr>
      </w:pPr>
    </w:p>
    <w:p w14:paraId="24DA6588" w14:textId="347BB097" w:rsidR="002A62CD" w:rsidRPr="00DD4652" w:rsidRDefault="002A62CD" w:rsidP="00E4555A">
      <w:pPr>
        <w:pStyle w:val="ListParagraph"/>
        <w:numPr>
          <w:ilvl w:val="0"/>
          <w:numId w:val="1"/>
        </w:numPr>
        <w:spacing w:line="240" w:lineRule="auto"/>
        <w:ind w:left="540" w:hanging="540"/>
        <w:rPr>
          <w:sz w:val="22"/>
        </w:rPr>
      </w:pPr>
      <w:r w:rsidRPr="00DD4652">
        <w:rPr>
          <w:rFonts w:eastAsia="Times New Roman"/>
          <w:b/>
          <w:bCs/>
          <w:sz w:val="22"/>
        </w:rPr>
        <w:t>RESULTS AND DISCUSSIONS</w:t>
      </w:r>
    </w:p>
    <w:p w14:paraId="6975CC66" w14:textId="30D61679" w:rsidR="002A62CD" w:rsidRPr="00DD4652" w:rsidRDefault="002A62CD" w:rsidP="00E4555A">
      <w:pPr>
        <w:spacing w:line="240" w:lineRule="auto"/>
        <w:ind w:firstLine="540"/>
        <w:jc w:val="both"/>
        <w:rPr>
          <w:rFonts w:eastAsia="Times New Roman"/>
          <w:sz w:val="22"/>
        </w:rPr>
      </w:pPr>
      <w:r w:rsidRPr="00DD4652">
        <w:rPr>
          <w:rFonts w:eastAsia="Times New Roman"/>
          <w:sz w:val="22"/>
        </w:rPr>
        <w:t>This study uses panel data consisting of 164 observations from 41 banking companies in Indonesia during the 2021</w:t>
      </w:r>
      <w:r w:rsidR="00B3266D">
        <w:rPr>
          <w:rFonts w:eastAsia="Times New Roman"/>
          <w:sz w:val="22"/>
        </w:rPr>
        <w:t>-</w:t>
      </w:r>
      <w:r w:rsidRPr="00DD4652">
        <w:rPr>
          <w:rFonts w:eastAsia="Times New Roman"/>
          <w:sz w:val="22"/>
        </w:rPr>
        <w:t xml:space="preserve">2024 period. The variables used in this research consist of dependent and independent variables. The dependent variable is Return on Assets (ROA), serving as an indicator of banking financial performance. Meanwhile, the independent variables are Green Credit (GCR), reflecting environment-based financing, and Non-Performing Loan (NPL), describing the level of credit risk. In addition, this study uses </w:t>
      </w:r>
      <w:r w:rsidR="00D86769" w:rsidRPr="00DD4652">
        <w:rPr>
          <w:rFonts w:eastAsia="Times New Roman"/>
          <w:sz w:val="22"/>
        </w:rPr>
        <w:t>bank size</w:t>
      </w:r>
      <w:r w:rsidRPr="00DD4652">
        <w:rPr>
          <w:rFonts w:eastAsia="Times New Roman"/>
          <w:sz w:val="22"/>
        </w:rPr>
        <w:t xml:space="preserve"> (</w:t>
      </w:r>
      <w:r w:rsidR="00B3266D" w:rsidRPr="00DD4652">
        <w:rPr>
          <w:rFonts w:eastAsia="Times New Roman"/>
          <w:sz w:val="22"/>
        </w:rPr>
        <w:t>Firm size</w:t>
      </w:r>
      <w:r w:rsidRPr="00DD4652">
        <w:rPr>
          <w:rFonts w:eastAsia="Times New Roman"/>
          <w:sz w:val="22"/>
        </w:rPr>
        <w:t xml:space="preserve">) as a moderating variable to determine whether </w:t>
      </w:r>
      <w:r w:rsidR="00D86769" w:rsidRPr="00DD4652">
        <w:rPr>
          <w:rFonts w:eastAsia="Times New Roman"/>
          <w:sz w:val="22"/>
        </w:rPr>
        <w:t>bank size</w:t>
      </w:r>
      <w:r w:rsidRPr="00DD4652">
        <w:rPr>
          <w:rFonts w:eastAsia="Times New Roman"/>
          <w:sz w:val="22"/>
        </w:rPr>
        <w:t xml:space="preserve"> strengthens or weakens the relationship between the independent variables and ROA. The descriptive test results for each variable are presented as follows:</w:t>
      </w:r>
    </w:p>
    <w:p w14:paraId="6D724CBE" w14:textId="77777777" w:rsidR="00E4555A" w:rsidRDefault="00E4555A" w:rsidP="00E4555A">
      <w:pPr>
        <w:spacing w:line="240" w:lineRule="auto"/>
        <w:rPr>
          <w:rFonts w:eastAsia="Times New Roman"/>
          <w:sz w:val="22"/>
        </w:rPr>
      </w:pPr>
    </w:p>
    <w:p w14:paraId="5C49B8A1" w14:textId="77777777" w:rsidR="00B3266D" w:rsidRDefault="00B3266D" w:rsidP="00E4555A">
      <w:pPr>
        <w:spacing w:line="240" w:lineRule="auto"/>
        <w:rPr>
          <w:rFonts w:eastAsia="Times New Roman"/>
          <w:sz w:val="22"/>
        </w:rPr>
      </w:pPr>
    </w:p>
    <w:p w14:paraId="672F5585" w14:textId="22782BF7" w:rsidR="002A62CD" w:rsidRPr="00DD4652" w:rsidRDefault="002A62CD" w:rsidP="00E4555A">
      <w:pPr>
        <w:spacing w:line="240" w:lineRule="auto"/>
        <w:rPr>
          <w:rFonts w:eastAsia="Times New Roman"/>
          <w:sz w:val="22"/>
        </w:rPr>
      </w:pPr>
      <w:r w:rsidRPr="00DD4652">
        <w:rPr>
          <w:rFonts w:eastAsia="Times New Roman"/>
          <w:sz w:val="22"/>
        </w:rPr>
        <w:lastRenderedPageBreak/>
        <w:t xml:space="preserve">Table 1. Descriptive </w:t>
      </w:r>
      <w:r w:rsidR="00E4555A" w:rsidRPr="00DD4652">
        <w:rPr>
          <w:rFonts w:eastAsia="Times New Roman"/>
          <w:sz w:val="22"/>
        </w:rPr>
        <w:t>s</w:t>
      </w:r>
      <w:r w:rsidRPr="00DD4652">
        <w:rPr>
          <w:rFonts w:eastAsia="Times New Roman"/>
          <w:sz w:val="22"/>
        </w:rPr>
        <w:t>tatistics</w:t>
      </w:r>
    </w:p>
    <w:tbl>
      <w:tblPr>
        <w:tblStyle w:val="TableGrid"/>
        <w:tblW w:w="0" w:type="auto"/>
        <w:tblLook w:val="04A0" w:firstRow="1" w:lastRow="0" w:firstColumn="1" w:lastColumn="0" w:noHBand="0" w:noVBand="1"/>
      </w:tblPr>
      <w:tblGrid>
        <w:gridCol w:w="2194"/>
        <w:gridCol w:w="2194"/>
        <w:gridCol w:w="2195"/>
        <w:gridCol w:w="2195"/>
      </w:tblGrid>
      <w:tr w:rsidR="00E4555A" w:rsidRPr="00DD4652" w14:paraId="2BE06B2C" w14:textId="77777777" w:rsidTr="000F3502">
        <w:tc>
          <w:tcPr>
            <w:tcW w:w="2194" w:type="dxa"/>
            <w:vAlign w:val="center"/>
          </w:tcPr>
          <w:p w14:paraId="0F653A37" w14:textId="5A6D3C6A"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b/>
                <w:bCs/>
                <w:sz w:val="22"/>
              </w:rPr>
              <w:t>Statistic</w:t>
            </w:r>
          </w:p>
        </w:tc>
        <w:tc>
          <w:tcPr>
            <w:tcW w:w="2194" w:type="dxa"/>
            <w:vAlign w:val="center"/>
          </w:tcPr>
          <w:p w14:paraId="397705C8" w14:textId="2BB38E1E"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b/>
                <w:bCs/>
                <w:sz w:val="22"/>
              </w:rPr>
              <w:t>ROA</w:t>
            </w:r>
          </w:p>
        </w:tc>
        <w:tc>
          <w:tcPr>
            <w:tcW w:w="2195" w:type="dxa"/>
            <w:vAlign w:val="center"/>
          </w:tcPr>
          <w:p w14:paraId="26258D2B" w14:textId="225FE60C"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b/>
                <w:bCs/>
                <w:sz w:val="22"/>
              </w:rPr>
              <w:t>GCR</w:t>
            </w:r>
          </w:p>
        </w:tc>
        <w:tc>
          <w:tcPr>
            <w:tcW w:w="2195" w:type="dxa"/>
            <w:vAlign w:val="center"/>
          </w:tcPr>
          <w:p w14:paraId="09A5775A" w14:textId="54092955"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b/>
                <w:bCs/>
                <w:sz w:val="22"/>
              </w:rPr>
              <w:t>NPL</w:t>
            </w:r>
          </w:p>
        </w:tc>
      </w:tr>
      <w:tr w:rsidR="00E4555A" w:rsidRPr="00DD4652" w14:paraId="4EBB7CBD" w14:textId="77777777" w:rsidTr="000F3502">
        <w:tc>
          <w:tcPr>
            <w:tcW w:w="2194" w:type="dxa"/>
            <w:vAlign w:val="center"/>
          </w:tcPr>
          <w:p w14:paraId="5B7C48A8" w14:textId="7E838CF3"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Mean</w:t>
            </w:r>
          </w:p>
        </w:tc>
        <w:tc>
          <w:tcPr>
            <w:tcW w:w="2194" w:type="dxa"/>
            <w:vAlign w:val="center"/>
          </w:tcPr>
          <w:p w14:paraId="49FC2E6C" w14:textId="44BC821F"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1.057</w:t>
            </w:r>
          </w:p>
        </w:tc>
        <w:tc>
          <w:tcPr>
            <w:tcW w:w="2195" w:type="dxa"/>
            <w:vAlign w:val="center"/>
          </w:tcPr>
          <w:p w14:paraId="6A8DB375" w14:textId="395C6CC1"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21.665</w:t>
            </w:r>
          </w:p>
        </w:tc>
        <w:tc>
          <w:tcPr>
            <w:tcW w:w="2195" w:type="dxa"/>
            <w:vAlign w:val="center"/>
          </w:tcPr>
          <w:p w14:paraId="592A819E" w14:textId="009888F3"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2.950</w:t>
            </w:r>
          </w:p>
        </w:tc>
      </w:tr>
      <w:tr w:rsidR="00E4555A" w:rsidRPr="00DD4652" w14:paraId="778A0408" w14:textId="77777777" w:rsidTr="000F3502">
        <w:tc>
          <w:tcPr>
            <w:tcW w:w="2194" w:type="dxa"/>
            <w:vAlign w:val="center"/>
          </w:tcPr>
          <w:p w14:paraId="09AD3F8C" w14:textId="57F4D6C9"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Median</w:t>
            </w:r>
          </w:p>
        </w:tc>
        <w:tc>
          <w:tcPr>
            <w:tcW w:w="2194" w:type="dxa"/>
            <w:vAlign w:val="center"/>
          </w:tcPr>
          <w:p w14:paraId="566B8C04" w14:textId="0ED8AE9D"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1.165</w:t>
            </w:r>
          </w:p>
        </w:tc>
        <w:tc>
          <w:tcPr>
            <w:tcW w:w="2195" w:type="dxa"/>
            <w:vAlign w:val="center"/>
          </w:tcPr>
          <w:p w14:paraId="76E74B18" w14:textId="7E4DA6CC"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19.0</w:t>
            </w:r>
            <w:r w:rsidR="00F40695" w:rsidRPr="00DD4652">
              <w:rPr>
                <w:rFonts w:ascii="Times New Roman" w:hAnsi="Times New Roman" w:cs="Times New Roman"/>
                <w:sz w:val="22"/>
              </w:rPr>
              <w:t>60</w:t>
            </w:r>
          </w:p>
        </w:tc>
        <w:tc>
          <w:tcPr>
            <w:tcW w:w="2195" w:type="dxa"/>
            <w:vAlign w:val="center"/>
          </w:tcPr>
          <w:p w14:paraId="2238C92A" w14:textId="76CA8AC5"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2.715</w:t>
            </w:r>
          </w:p>
        </w:tc>
      </w:tr>
      <w:tr w:rsidR="00E4555A" w:rsidRPr="00DD4652" w14:paraId="50D92628" w14:textId="77777777" w:rsidTr="000F3502">
        <w:tc>
          <w:tcPr>
            <w:tcW w:w="2194" w:type="dxa"/>
            <w:vAlign w:val="center"/>
          </w:tcPr>
          <w:p w14:paraId="04C99475" w14:textId="1D8D48A5"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Maximum</w:t>
            </w:r>
          </w:p>
        </w:tc>
        <w:tc>
          <w:tcPr>
            <w:tcW w:w="2194" w:type="dxa"/>
            <w:vAlign w:val="center"/>
          </w:tcPr>
          <w:p w14:paraId="4450EF32" w14:textId="29AF7E39"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11.430</w:t>
            </w:r>
          </w:p>
        </w:tc>
        <w:tc>
          <w:tcPr>
            <w:tcW w:w="2195" w:type="dxa"/>
            <w:vAlign w:val="center"/>
          </w:tcPr>
          <w:p w14:paraId="6FF52ED2" w14:textId="0404CFD5"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99.900</w:t>
            </w:r>
          </w:p>
        </w:tc>
        <w:tc>
          <w:tcPr>
            <w:tcW w:w="2195" w:type="dxa"/>
            <w:vAlign w:val="center"/>
          </w:tcPr>
          <w:p w14:paraId="2C123071" w14:textId="533AA61F"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10.660</w:t>
            </w:r>
          </w:p>
        </w:tc>
      </w:tr>
      <w:tr w:rsidR="00E4555A" w:rsidRPr="00DD4652" w14:paraId="1757B98D" w14:textId="77777777" w:rsidTr="000F3502">
        <w:tc>
          <w:tcPr>
            <w:tcW w:w="2194" w:type="dxa"/>
            <w:vAlign w:val="center"/>
          </w:tcPr>
          <w:p w14:paraId="3599B4D5" w14:textId="570BDE60"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Minimum</w:t>
            </w:r>
          </w:p>
        </w:tc>
        <w:tc>
          <w:tcPr>
            <w:tcW w:w="2194" w:type="dxa"/>
            <w:vAlign w:val="center"/>
          </w:tcPr>
          <w:p w14:paraId="64BB2339" w14:textId="4C8A2B98"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−13.710</w:t>
            </w:r>
          </w:p>
        </w:tc>
        <w:tc>
          <w:tcPr>
            <w:tcW w:w="2195" w:type="dxa"/>
            <w:vAlign w:val="center"/>
          </w:tcPr>
          <w:p w14:paraId="7A43255C" w14:textId="74259A71"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0.15</w:t>
            </w:r>
            <w:r w:rsidR="00F40695" w:rsidRPr="00DD4652">
              <w:rPr>
                <w:rFonts w:ascii="Times New Roman" w:hAnsi="Times New Roman" w:cs="Times New Roman"/>
                <w:sz w:val="22"/>
              </w:rPr>
              <w:t>3</w:t>
            </w:r>
          </w:p>
        </w:tc>
        <w:tc>
          <w:tcPr>
            <w:tcW w:w="2195" w:type="dxa"/>
            <w:vAlign w:val="center"/>
          </w:tcPr>
          <w:p w14:paraId="7CFD2A96" w14:textId="0C03D0B3"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0.000</w:t>
            </w:r>
          </w:p>
        </w:tc>
      </w:tr>
      <w:tr w:rsidR="00E4555A" w:rsidRPr="00DD4652" w14:paraId="00FE3B19" w14:textId="77777777" w:rsidTr="000F3502">
        <w:tc>
          <w:tcPr>
            <w:tcW w:w="2194" w:type="dxa"/>
            <w:vAlign w:val="center"/>
          </w:tcPr>
          <w:p w14:paraId="1B760FD8" w14:textId="06F3CAD6"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Std. Dev.</w:t>
            </w:r>
          </w:p>
        </w:tc>
        <w:tc>
          <w:tcPr>
            <w:tcW w:w="2194" w:type="dxa"/>
            <w:vAlign w:val="center"/>
          </w:tcPr>
          <w:p w14:paraId="1B4A9F19" w14:textId="15ADD340"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2.88</w:t>
            </w:r>
            <w:r w:rsidR="00F40695" w:rsidRPr="00DD4652">
              <w:rPr>
                <w:rFonts w:ascii="Times New Roman" w:hAnsi="Times New Roman" w:cs="Times New Roman"/>
                <w:sz w:val="22"/>
              </w:rPr>
              <w:t>5</w:t>
            </w:r>
          </w:p>
        </w:tc>
        <w:tc>
          <w:tcPr>
            <w:tcW w:w="2195" w:type="dxa"/>
            <w:vAlign w:val="center"/>
          </w:tcPr>
          <w:p w14:paraId="18C63C74" w14:textId="61A2DB08"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18.703</w:t>
            </w:r>
          </w:p>
        </w:tc>
        <w:tc>
          <w:tcPr>
            <w:tcW w:w="2195" w:type="dxa"/>
            <w:vAlign w:val="center"/>
          </w:tcPr>
          <w:p w14:paraId="0809F4BA" w14:textId="6D3996D7"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1.96</w:t>
            </w:r>
            <w:r w:rsidR="00F40695" w:rsidRPr="00DD4652">
              <w:rPr>
                <w:rFonts w:ascii="Times New Roman" w:hAnsi="Times New Roman" w:cs="Times New Roman"/>
                <w:sz w:val="22"/>
              </w:rPr>
              <w:t>7</w:t>
            </w:r>
          </w:p>
        </w:tc>
      </w:tr>
      <w:tr w:rsidR="00E4555A" w:rsidRPr="00DD4652" w14:paraId="5412E658" w14:textId="77777777" w:rsidTr="000F3502">
        <w:tc>
          <w:tcPr>
            <w:tcW w:w="2194" w:type="dxa"/>
            <w:vAlign w:val="center"/>
          </w:tcPr>
          <w:p w14:paraId="342DD20C" w14:textId="6E090568"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Skewness</w:t>
            </w:r>
          </w:p>
        </w:tc>
        <w:tc>
          <w:tcPr>
            <w:tcW w:w="2194" w:type="dxa"/>
            <w:vAlign w:val="center"/>
          </w:tcPr>
          <w:p w14:paraId="5CDFF764" w14:textId="3F542C2C"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−1.65</w:t>
            </w:r>
            <w:r w:rsidR="00F40695" w:rsidRPr="00DD4652">
              <w:rPr>
                <w:rFonts w:ascii="Times New Roman" w:hAnsi="Times New Roman" w:cs="Times New Roman"/>
                <w:sz w:val="22"/>
              </w:rPr>
              <w:t>7</w:t>
            </w:r>
          </w:p>
        </w:tc>
        <w:tc>
          <w:tcPr>
            <w:tcW w:w="2195" w:type="dxa"/>
            <w:vAlign w:val="center"/>
          </w:tcPr>
          <w:p w14:paraId="1722A54A" w14:textId="212B690B"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2.07</w:t>
            </w:r>
            <w:r w:rsidR="00F40695" w:rsidRPr="00DD4652">
              <w:rPr>
                <w:rFonts w:ascii="Times New Roman" w:hAnsi="Times New Roman" w:cs="Times New Roman"/>
                <w:sz w:val="22"/>
              </w:rPr>
              <w:t>1</w:t>
            </w:r>
          </w:p>
        </w:tc>
        <w:tc>
          <w:tcPr>
            <w:tcW w:w="2195" w:type="dxa"/>
            <w:vAlign w:val="center"/>
          </w:tcPr>
          <w:p w14:paraId="272BBD89" w14:textId="555C98A3"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1.748</w:t>
            </w:r>
          </w:p>
        </w:tc>
      </w:tr>
      <w:tr w:rsidR="00E4555A" w:rsidRPr="00DD4652" w14:paraId="0DBF429A" w14:textId="77777777" w:rsidTr="000F3502">
        <w:tc>
          <w:tcPr>
            <w:tcW w:w="2194" w:type="dxa"/>
            <w:vAlign w:val="center"/>
          </w:tcPr>
          <w:p w14:paraId="741B92EF" w14:textId="3CE79A89"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Kurtosis</w:t>
            </w:r>
          </w:p>
        </w:tc>
        <w:tc>
          <w:tcPr>
            <w:tcW w:w="2194" w:type="dxa"/>
            <w:vAlign w:val="center"/>
          </w:tcPr>
          <w:p w14:paraId="60E0DA47" w14:textId="1B2F7B63"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12.493</w:t>
            </w:r>
          </w:p>
        </w:tc>
        <w:tc>
          <w:tcPr>
            <w:tcW w:w="2195" w:type="dxa"/>
            <w:vAlign w:val="center"/>
          </w:tcPr>
          <w:p w14:paraId="2D22AE96" w14:textId="19698824"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8.450</w:t>
            </w:r>
          </w:p>
        </w:tc>
        <w:tc>
          <w:tcPr>
            <w:tcW w:w="2195" w:type="dxa"/>
            <w:vAlign w:val="center"/>
          </w:tcPr>
          <w:p w14:paraId="26906D56" w14:textId="5C5879A8"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6.834</w:t>
            </w:r>
          </w:p>
        </w:tc>
      </w:tr>
      <w:tr w:rsidR="00E4555A" w:rsidRPr="00DD4652" w14:paraId="586688A9" w14:textId="77777777" w:rsidTr="000F3502">
        <w:tc>
          <w:tcPr>
            <w:tcW w:w="2194" w:type="dxa"/>
            <w:vAlign w:val="center"/>
          </w:tcPr>
          <w:p w14:paraId="7D6AD6EC" w14:textId="1A7AA41B"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Jarque</w:t>
            </w:r>
            <w:r w:rsidR="00B3266D">
              <w:rPr>
                <w:rFonts w:ascii="Times New Roman" w:hAnsi="Times New Roman" w:cs="Times New Roman"/>
                <w:sz w:val="22"/>
              </w:rPr>
              <w:t>-</w:t>
            </w:r>
            <w:r w:rsidRPr="00DD4652">
              <w:rPr>
                <w:rFonts w:ascii="Times New Roman" w:hAnsi="Times New Roman" w:cs="Times New Roman"/>
                <w:sz w:val="22"/>
              </w:rPr>
              <w:t>Bera</w:t>
            </w:r>
          </w:p>
        </w:tc>
        <w:tc>
          <w:tcPr>
            <w:tcW w:w="2194" w:type="dxa"/>
            <w:vAlign w:val="center"/>
          </w:tcPr>
          <w:p w14:paraId="06C418CB" w14:textId="5B14FA95"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690.85</w:t>
            </w:r>
          </w:p>
        </w:tc>
        <w:tc>
          <w:tcPr>
            <w:tcW w:w="2195" w:type="dxa"/>
            <w:vAlign w:val="center"/>
          </w:tcPr>
          <w:p w14:paraId="2BF7DD5E" w14:textId="4EDE0D28"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320.18</w:t>
            </w:r>
          </w:p>
        </w:tc>
        <w:tc>
          <w:tcPr>
            <w:tcW w:w="2195" w:type="dxa"/>
            <w:vAlign w:val="center"/>
          </w:tcPr>
          <w:p w14:paraId="5EF42CC6" w14:textId="37AB8801"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184.00</w:t>
            </w:r>
          </w:p>
        </w:tc>
      </w:tr>
      <w:tr w:rsidR="00E4555A" w:rsidRPr="00DD4652" w14:paraId="277B39AB" w14:textId="77777777" w:rsidTr="000F3502">
        <w:tc>
          <w:tcPr>
            <w:tcW w:w="2194" w:type="dxa"/>
            <w:vAlign w:val="center"/>
          </w:tcPr>
          <w:p w14:paraId="7095A856" w14:textId="4A8D6B59"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Probability</w:t>
            </w:r>
          </w:p>
        </w:tc>
        <w:tc>
          <w:tcPr>
            <w:tcW w:w="2194" w:type="dxa"/>
            <w:vAlign w:val="center"/>
          </w:tcPr>
          <w:p w14:paraId="3867EF7E" w14:textId="079D51EC"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0.000</w:t>
            </w:r>
          </w:p>
        </w:tc>
        <w:tc>
          <w:tcPr>
            <w:tcW w:w="2195" w:type="dxa"/>
            <w:vAlign w:val="center"/>
          </w:tcPr>
          <w:p w14:paraId="065B7F2E" w14:textId="49401712"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0.000</w:t>
            </w:r>
          </w:p>
        </w:tc>
        <w:tc>
          <w:tcPr>
            <w:tcW w:w="2195" w:type="dxa"/>
            <w:vAlign w:val="center"/>
          </w:tcPr>
          <w:p w14:paraId="7F2AC958" w14:textId="3AC1DCBD"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0.000</w:t>
            </w:r>
          </w:p>
        </w:tc>
      </w:tr>
      <w:tr w:rsidR="00E4555A" w:rsidRPr="00DD4652" w14:paraId="33F9047F" w14:textId="77777777" w:rsidTr="000F3502">
        <w:tc>
          <w:tcPr>
            <w:tcW w:w="2194" w:type="dxa"/>
            <w:vAlign w:val="center"/>
          </w:tcPr>
          <w:p w14:paraId="3D6022F9" w14:textId="7996A2A5" w:rsidR="00E4555A" w:rsidRPr="00DD4652" w:rsidRDefault="00E4555A" w:rsidP="00E4555A">
            <w:pPr>
              <w:spacing w:line="240" w:lineRule="auto"/>
              <w:jc w:val="both"/>
              <w:rPr>
                <w:rFonts w:ascii="Times New Roman" w:hAnsi="Times New Roman" w:cs="Times New Roman"/>
                <w:sz w:val="22"/>
              </w:rPr>
            </w:pPr>
            <w:r w:rsidRPr="00DD4652">
              <w:rPr>
                <w:rFonts w:ascii="Times New Roman" w:hAnsi="Times New Roman" w:cs="Times New Roman"/>
                <w:sz w:val="22"/>
              </w:rPr>
              <w:t>Observations</w:t>
            </w:r>
          </w:p>
        </w:tc>
        <w:tc>
          <w:tcPr>
            <w:tcW w:w="2194" w:type="dxa"/>
            <w:vAlign w:val="center"/>
          </w:tcPr>
          <w:p w14:paraId="2C2A79BC" w14:textId="22EA9738"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164</w:t>
            </w:r>
          </w:p>
        </w:tc>
        <w:tc>
          <w:tcPr>
            <w:tcW w:w="2195" w:type="dxa"/>
            <w:vAlign w:val="center"/>
          </w:tcPr>
          <w:p w14:paraId="748CDB83" w14:textId="1CB7FBD0"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164</w:t>
            </w:r>
          </w:p>
        </w:tc>
        <w:tc>
          <w:tcPr>
            <w:tcW w:w="2195" w:type="dxa"/>
            <w:vAlign w:val="center"/>
          </w:tcPr>
          <w:p w14:paraId="5ACE35F6" w14:textId="59442471" w:rsidR="00E4555A" w:rsidRPr="00DD4652" w:rsidRDefault="00E4555A" w:rsidP="00E4555A">
            <w:pPr>
              <w:spacing w:line="240" w:lineRule="auto"/>
              <w:jc w:val="center"/>
              <w:rPr>
                <w:rFonts w:ascii="Times New Roman" w:hAnsi="Times New Roman" w:cs="Times New Roman"/>
                <w:sz w:val="22"/>
              </w:rPr>
            </w:pPr>
            <w:r w:rsidRPr="00DD4652">
              <w:rPr>
                <w:rFonts w:ascii="Times New Roman" w:hAnsi="Times New Roman" w:cs="Times New Roman"/>
                <w:sz w:val="22"/>
              </w:rPr>
              <w:t>164</w:t>
            </w:r>
          </w:p>
        </w:tc>
      </w:tr>
    </w:tbl>
    <w:p w14:paraId="2254A209" w14:textId="77777777" w:rsidR="00E4555A" w:rsidRPr="00DD4652" w:rsidRDefault="00E4555A" w:rsidP="00917C19">
      <w:pPr>
        <w:spacing w:line="240" w:lineRule="auto"/>
        <w:ind w:firstLine="720"/>
        <w:jc w:val="both"/>
        <w:rPr>
          <w:rFonts w:eastAsia="Times New Roman"/>
          <w:sz w:val="22"/>
        </w:rPr>
      </w:pPr>
    </w:p>
    <w:p w14:paraId="63EBE312" w14:textId="0E046835" w:rsidR="00BF58C8" w:rsidRPr="00DD4652" w:rsidRDefault="00F40695" w:rsidP="00E4555A">
      <w:pPr>
        <w:spacing w:line="240" w:lineRule="auto"/>
        <w:ind w:firstLine="540"/>
        <w:jc w:val="both"/>
        <w:rPr>
          <w:rFonts w:eastAsia="Times New Roman"/>
          <w:sz w:val="22"/>
        </w:rPr>
      </w:pPr>
      <w:r w:rsidRPr="00DD4652">
        <w:rPr>
          <w:rFonts w:eastAsia="Times New Roman"/>
          <w:sz w:val="22"/>
        </w:rPr>
        <w:t>Table 1 shows</w:t>
      </w:r>
      <w:r w:rsidR="00BF58C8" w:rsidRPr="00DD4652">
        <w:rPr>
          <w:rFonts w:eastAsia="Times New Roman"/>
          <w:sz w:val="22"/>
        </w:rPr>
        <w:t xml:space="preserve"> ROA has a mean of 1.057, with 88 of the 164 observations lying above this average</w:t>
      </w:r>
      <w:r w:rsidRPr="00DD4652">
        <w:rPr>
          <w:rFonts w:eastAsia="Times New Roman"/>
          <w:sz w:val="22"/>
        </w:rPr>
        <w:t>.</w:t>
      </w:r>
      <w:r w:rsidR="00BF58C8" w:rsidRPr="00DD4652">
        <w:rPr>
          <w:rFonts w:eastAsia="Times New Roman"/>
          <w:sz w:val="22"/>
        </w:rPr>
        <w:t xml:space="preserve"> </w:t>
      </w:r>
      <w:r w:rsidRPr="00DD4652">
        <w:rPr>
          <w:rFonts w:eastAsia="Times New Roman"/>
          <w:sz w:val="22"/>
        </w:rPr>
        <w:t>T</w:t>
      </w:r>
      <w:r w:rsidR="00BF58C8" w:rsidRPr="00DD4652">
        <w:rPr>
          <w:rFonts w:eastAsia="Times New Roman"/>
          <w:sz w:val="22"/>
        </w:rPr>
        <w:t xml:space="preserve">he three banks with the highest average ROA are Bank BTPN Syariah (BTPS), Bank </w:t>
      </w:r>
      <w:proofErr w:type="spellStart"/>
      <w:r w:rsidR="00BF58C8" w:rsidRPr="00DD4652">
        <w:rPr>
          <w:rFonts w:eastAsia="Times New Roman"/>
          <w:sz w:val="22"/>
        </w:rPr>
        <w:t>Bisnis</w:t>
      </w:r>
      <w:proofErr w:type="spellEnd"/>
      <w:r w:rsidR="00BF58C8" w:rsidRPr="00DD4652">
        <w:rPr>
          <w:rFonts w:eastAsia="Times New Roman"/>
          <w:sz w:val="22"/>
        </w:rPr>
        <w:t xml:space="preserve"> Internasional (BBSI), and Bank Mega (MEGA). Green Credit (GCR) has a mean of 21.665, with the highest average green-credit intensity recorded at Bank BTPN Syariah, Bank Amar Indonesia, and Bank Rakyat Indonesia.</w:t>
      </w:r>
      <w:r w:rsidR="00E4555A" w:rsidRPr="00DD4652">
        <w:rPr>
          <w:rFonts w:eastAsia="Times New Roman"/>
          <w:sz w:val="22"/>
        </w:rPr>
        <w:t xml:space="preserve"> </w:t>
      </w:r>
      <w:r w:rsidR="00BF58C8" w:rsidRPr="00DD4652">
        <w:rPr>
          <w:rFonts w:eastAsia="Times New Roman"/>
          <w:sz w:val="22"/>
        </w:rPr>
        <w:t>The average Non-Performing Loan (NPL) is 2.950, below the regulatory threshold of 5%, indicating that credit risk generally remained under control</w:t>
      </w:r>
      <w:r w:rsidRPr="00DD4652">
        <w:rPr>
          <w:rFonts w:eastAsia="Times New Roman"/>
          <w:sz w:val="22"/>
        </w:rPr>
        <w:t>.</w:t>
      </w:r>
      <w:r w:rsidR="00BF58C8" w:rsidRPr="00DD4652">
        <w:rPr>
          <w:rFonts w:eastAsia="Times New Roman"/>
          <w:sz w:val="22"/>
        </w:rPr>
        <w:t xml:space="preserve"> </w:t>
      </w:r>
      <w:r w:rsidRPr="00DD4652">
        <w:rPr>
          <w:rFonts w:eastAsia="Times New Roman"/>
          <w:sz w:val="22"/>
        </w:rPr>
        <w:t>T</w:t>
      </w:r>
      <w:r w:rsidR="00BF58C8" w:rsidRPr="00DD4652">
        <w:rPr>
          <w:rFonts w:eastAsia="Times New Roman"/>
          <w:sz w:val="22"/>
        </w:rPr>
        <w:t xml:space="preserve">he highest average NPLs were recorded at Bank KB </w:t>
      </w:r>
      <w:proofErr w:type="spellStart"/>
      <w:r w:rsidR="00BF58C8" w:rsidRPr="00DD4652">
        <w:rPr>
          <w:rFonts w:eastAsia="Times New Roman"/>
          <w:sz w:val="22"/>
        </w:rPr>
        <w:t>Bukopin</w:t>
      </w:r>
      <w:proofErr w:type="spellEnd"/>
      <w:r w:rsidR="00BF58C8" w:rsidRPr="00DD4652">
        <w:rPr>
          <w:rFonts w:eastAsia="Times New Roman"/>
          <w:sz w:val="22"/>
        </w:rPr>
        <w:t xml:space="preserve"> (BBKP), Bank Amar Indonesia (AMAR), and Bank of India Indonesia (BSWD). The average bank size (FIRMSIZE) is 11.016, and the largest banks in the sample are Bank </w:t>
      </w:r>
      <w:proofErr w:type="spellStart"/>
      <w:r w:rsidR="00BF58C8" w:rsidRPr="00DD4652">
        <w:rPr>
          <w:rFonts w:eastAsia="Times New Roman"/>
          <w:sz w:val="22"/>
        </w:rPr>
        <w:t>Mandiri</w:t>
      </w:r>
      <w:proofErr w:type="spellEnd"/>
      <w:r w:rsidR="00BF58C8" w:rsidRPr="00DD4652">
        <w:rPr>
          <w:rFonts w:eastAsia="Times New Roman"/>
          <w:sz w:val="22"/>
        </w:rPr>
        <w:t xml:space="preserve"> (BMRI), Bank Rakyat Indonesia (BBRI), and Bank Central Asia (BBCA), reflecting an asset base substantially above the sample average.</w:t>
      </w:r>
    </w:p>
    <w:p w14:paraId="3EF2BD7D" w14:textId="43CB8959" w:rsidR="00D53992" w:rsidRPr="00DD4652" w:rsidRDefault="00BF58C8" w:rsidP="00E4555A">
      <w:pPr>
        <w:spacing w:line="240" w:lineRule="auto"/>
        <w:ind w:firstLine="540"/>
        <w:jc w:val="both"/>
        <w:rPr>
          <w:rFonts w:eastAsia="Times New Roman"/>
          <w:sz w:val="22"/>
        </w:rPr>
      </w:pPr>
      <w:r w:rsidRPr="00DD4652">
        <w:rPr>
          <w:rFonts w:eastAsia="Times New Roman"/>
          <w:sz w:val="22"/>
        </w:rPr>
        <w:t>The minimum values reflect the lowest observations during the period</w:t>
      </w:r>
      <w:r w:rsidR="00F40695" w:rsidRPr="00DD4652">
        <w:rPr>
          <w:rFonts w:eastAsia="Times New Roman"/>
          <w:sz w:val="22"/>
        </w:rPr>
        <w:t>, such as</w:t>
      </w:r>
      <w:r w:rsidRPr="00DD4652">
        <w:rPr>
          <w:rFonts w:eastAsia="Times New Roman"/>
          <w:sz w:val="22"/>
        </w:rPr>
        <w:t xml:space="preserve"> ROA of −13.71 at Bank Neo Commerce (BBYB) in 2021</w:t>
      </w:r>
      <w:r w:rsidR="00F40695" w:rsidRPr="00DD4652">
        <w:rPr>
          <w:rFonts w:eastAsia="Times New Roman"/>
          <w:sz w:val="22"/>
        </w:rPr>
        <w:t>,</w:t>
      </w:r>
      <w:r w:rsidRPr="00DD4652">
        <w:rPr>
          <w:rFonts w:eastAsia="Times New Roman"/>
          <w:sz w:val="22"/>
        </w:rPr>
        <w:t xml:space="preserve"> GCR of 0.15 at Bank Woori </w:t>
      </w:r>
      <w:proofErr w:type="spellStart"/>
      <w:r w:rsidRPr="00DD4652">
        <w:rPr>
          <w:rFonts w:eastAsia="Times New Roman"/>
          <w:sz w:val="22"/>
        </w:rPr>
        <w:t>Saudara</w:t>
      </w:r>
      <w:proofErr w:type="spellEnd"/>
      <w:r w:rsidRPr="00DD4652">
        <w:rPr>
          <w:rFonts w:eastAsia="Times New Roman"/>
          <w:sz w:val="22"/>
        </w:rPr>
        <w:t xml:space="preserve"> Indonesia 1906 (SDRA) in 2024</w:t>
      </w:r>
      <w:r w:rsidR="00F40695" w:rsidRPr="00DD4652">
        <w:rPr>
          <w:rFonts w:eastAsia="Times New Roman"/>
          <w:sz w:val="22"/>
        </w:rPr>
        <w:t>,</w:t>
      </w:r>
      <w:r w:rsidRPr="00DD4652">
        <w:rPr>
          <w:rFonts w:eastAsia="Times New Roman"/>
          <w:sz w:val="22"/>
        </w:rPr>
        <w:t xml:space="preserve"> NPL of 0.00 at Bank Capital Indonesia (BACA) in 2021</w:t>
      </w:r>
      <w:r w:rsidR="00F40695" w:rsidRPr="00DD4652">
        <w:rPr>
          <w:rFonts w:eastAsia="Times New Roman"/>
          <w:sz w:val="22"/>
        </w:rPr>
        <w:t>,</w:t>
      </w:r>
      <w:r w:rsidRPr="00DD4652">
        <w:rPr>
          <w:rFonts w:eastAsia="Times New Roman"/>
          <w:sz w:val="22"/>
        </w:rPr>
        <w:t xml:space="preserve"> and FIRMSIZE of 7.82 at Bank </w:t>
      </w:r>
      <w:proofErr w:type="spellStart"/>
      <w:r w:rsidRPr="00DD4652">
        <w:rPr>
          <w:rFonts w:eastAsia="Times New Roman"/>
          <w:sz w:val="22"/>
        </w:rPr>
        <w:t>Bisnis</w:t>
      </w:r>
      <w:proofErr w:type="spellEnd"/>
      <w:r w:rsidRPr="00DD4652">
        <w:rPr>
          <w:rFonts w:eastAsia="Times New Roman"/>
          <w:sz w:val="22"/>
        </w:rPr>
        <w:t xml:space="preserve"> Internasional (BBSI) in 2021. The maximum values indicate the highest observations</w:t>
      </w:r>
      <w:r w:rsidR="00F40695" w:rsidRPr="00DD4652">
        <w:rPr>
          <w:rFonts w:eastAsia="Times New Roman"/>
          <w:sz w:val="22"/>
        </w:rPr>
        <w:t>, such as</w:t>
      </w:r>
      <w:r w:rsidRPr="00DD4652">
        <w:rPr>
          <w:rFonts w:eastAsia="Times New Roman"/>
          <w:sz w:val="22"/>
        </w:rPr>
        <w:t xml:space="preserve"> ROA of 11.43 at Bank BTPN Syariah (BTPS) in 2022</w:t>
      </w:r>
      <w:r w:rsidR="00F40695" w:rsidRPr="00DD4652">
        <w:rPr>
          <w:rFonts w:eastAsia="Times New Roman"/>
          <w:sz w:val="22"/>
        </w:rPr>
        <w:t>,</w:t>
      </w:r>
      <w:r w:rsidRPr="00DD4652">
        <w:rPr>
          <w:rFonts w:eastAsia="Times New Roman"/>
          <w:sz w:val="22"/>
        </w:rPr>
        <w:t xml:space="preserve"> GCR of 99.90 at Bank BTPN Syariah in 2021</w:t>
      </w:r>
      <w:r w:rsidR="00F40695" w:rsidRPr="00DD4652">
        <w:rPr>
          <w:rFonts w:eastAsia="Times New Roman"/>
          <w:sz w:val="22"/>
        </w:rPr>
        <w:t>,</w:t>
      </w:r>
      <w:r w:rsidRPr="00DD4652">
        <w:rPr>
          <w:rFonts w:eastAsia="Times New Roman"/>
          <w:sz w:val="22"/>
        </w:rPr>
        <w:t xml:space="preserve"> NPL of 10.66 at Bank KB </w:t>
      </w:r>
      <w:proofErr w:type="spellStart"/>
      <w:r w:rsidRPr="00DD4652">
        <w:rPr>
          <w:rFonts w:eastAsia="Times New Roman"/>
          <w:sz w:val="22"/>
        </w:rPr>
        <w:t>Bukopin</w:t>
      </w:r>
      <w:proofErr w:type="spellEnd"/>
      <w:r w:rsidRPr="00DD4652">
        <w:rPr>
          <w:rFonts w:eastAsia="Times New Roman"/>
          <w:sz w:val="22"/>
        </w:rPr>
        <w:t xml:space="preserve"> (BBKP) in 2021</w:t>
      </w:r>
      <w:r w:rsidR="00F40695" w:rsidRPr="00DD4652">
        <w:rPr>
          <w:rFonts w:eastAsia="Times New Roman"/>
          <w:sz w:val="22"/>
        </w:rPr>
        <w:t>,</w:t>
      </w:r>
      <w:r w:rsidRPr="00DD4652">
        <w:rPr>
          <w:rFonts w:eastAsia="Times New Roman"/>
          <w:sz w:val="22"/>
        </w:rPr>
        <w:t xml:space="preserve"> and FIRMSIZE of 14.70 at Bank </w:t>
      </w:r>
      <w:proofErr w:type="spellStart"/>
      <w:r w:rsidRPr="00DD4652">
        <w:rPr>
          <w:rFonts w:eastAsia="Times New Roman"/>
          <w:sz w:val="22"/>
        </w:rPr>
        <w:t>Mandiri</w:t>
      </w:r>
      <w:proofErr w:type="spellEnd"/>
      <w:r w:rsidRPr="00DD4652">
        <w:rPr>
          <w:rFonts w:eastAsia="Times New Roman"/>
          <w:sz w:val="22"/>
        </w:rPr>
        <w:t xml:space="preserve"> (BMRI) in 2024. These figures indicate substantial variation across banks in the sample</w:t>
      </w:r>
      <w:r w:rsidR="00E4555A" w:rsidRPr="00DD4652">
        <w:rPr>
          <w:rFonts w:eastAsia="Times New Roman"/>
          <w:sz w:val="22"/>
        </w:rPr>
        <w:t xml:space="preserve"> </w:t>
      </w:r>
      <w:r w:rsidR="00F40695" w:rsidRPr="00DD4652">
        <w:rPr>
          <w:rFonts w:eastAsia="Times New Roman"/>
          <w:sz w:val="22"/>
        </w:rPr>
        <w:t>w</w:t>
      </w:r>
      <w:r w:rsidRPr="00DD4652">
        <w:rPr>
          <w:rFonts w:eastAsia="Times New Roman"/>
          <w:sz w:val="22"/>
        </w:rPr>
        <w:t>ith respect to normality, the Jarque-Bera test yields probabilities below 0.05 for ROA, GCR, and NPL (and 0.020 for FIRMSIZE), indicating that the variables are not normally distributed an expected outcome given a small number of extreme observations (the −13.71 ROA of a digital bank in 2021). Following the Central Limit Theorem, normality is not a binding requirement for the consistency of the panel estimator when the sample is sufficiently large (</w:t>
      </w:r>
      <w:r w:rsidR="00F40695" w:rsidRPr="00DD4652">
        <w:rPr>
          <w:rFonts w:eastAsia="Times New Roman"/>
          <w:sz w:val="22"/>
        </w:rPr>
        <w:t>N</w:t>
      </w:r>
      <w:r w:rsidRPr="00DD4652">
        <w:rPr>
          <w:rFonts w:eastAsia="Times New Roman"/>
          <w:sz w:val="22"/>
        </w:rPr>
        <w:t>=164&gt;30)</w:t>
      </w:r>
      <w:r w:rsidR="00AD6B19" w:rsidRPr="00DD4652">
        <w:rPr>
          <w:rFonts w:eastAsia="Times New Roman"/>
          <w:sz w:val="22"/>
        </w:rPr>
        <w:t xml:space="preserve"> </w:t>
      </w:r>
      <w:r w:rsidR="00AD6B19" w:rsidRPr="00DD4652">
        <w:rPr>
          <w:rFonts w:eastAsia="Times New Roman"/>
          <w:sz w:val="22"/>
        </w:rPr>
        <w:fldChar w:fldCharType="begin"/>
      </w:r>
      <w:r w:rsidR="00AD6B19" w:rsidRPr="00DD4652">
        <w:rPr>
          <w:rFonts w:eastAsia="Times New Roman"/>
          <w:sz w:val="22"/>
        </w:rPr>
        <w:instrText xml:space="preserve"> ADDIN EN.CITE &lt;EndNote&gt;&lt;Cite&gt;&lt;Author&gt;Ghozali&lt;/Author&gt;&lt;Year&gt;2018&lt;/Year&gt;&lt;RecNum&gt;3460&lt;/RecNum&gt;&lt;DisplayText&gt;(Ghozali, 2018)&lt;/DisplayText&gt;&lt;record&gt;&lt;rec-number&gt;3460&lt;/rec-number&gt;&lt;foreign-keys&gt;&lt;key app="EN" db-id="x5ezdazsa9zseqe5esy5zw9wxe95pawf2e0d" timestamp="1769745134"&gt;3460&lt;/key&gt;&lt;/foreign-keys&gt;&lt;ref-type name="Book"&gt;6&lt;/ref-type&gt;&lt;contributors&gt;&lt;authors&gt;&lt;author&gt;Ghozali, Imam&lt;/author&gt;&lt;/authors&gt;&lt;/contributors&gt;&lt;titles&gt;&lt;title&gt;Aplikasi analisis multivariate dengan program IBM SPSS 25&lt;/title&gt;&lt;/titles&gt;&lt;dates&gt;&lt;year&gt;2018&lt;/year&gt;&lt;/dates&gt;&lt;urls&gt;&lt;/urls&gt;&lt;/record&gt;&lt;/Cite&gt;&lt;/EndNote&gt;</w:instrText>
      </w:r>
      <w:r w:rsidR="00AD6B19" w:rsidRPr="00DD4652">
        <w:rPr>
          <w:rFonts w:eastAsia="Times New Roman"/>
          <w:sz w:val="22"/>
        </w:rPr>
        <w:fldChar w:fldCharType="separate"/>
      </w:r>
      <w:r w:rsidR="00AD6B19" w:rsidRPr="00DD4652">
        <w:rPr>
          <w:rFonts w:eastAsia="Times New Roman"/>
          <w:sz w:val="22"/>
        </w:rPr>
        <w:t>(</w:t>
      </w:r>
      <w:hyperlink w:anchor="_ENREF_16" w:tooltip="Ghozali, 2018 #3460" w:history="1">
        <w:r w:rsidR="00AD6B19" w:rsidRPr="00DD4652">
          <w:rPr>
            <w:rStyle w:val="Hyperlink"/>
            <w:rFonts w:eastAsia="Times New Roman"/>
            <w:sz w:val="22"/>
          </w:rPr>
          <w:t>Ghozali, 2018</w:t>
        </w:r>
      </w:hyperlink>
      <w:r w:rsidR="00AD6B19" w:rsidRPr="00DD4652">
        <w:rPr>
          <w:rFonts w:eastAsia="Times New Roman"/>
          <w:sz w:val="22"/>
        </w:rPr>
        <w:t>)</w:t>
      </w:r>
      <w:r w:rsidR="00AD6B19" w:rsidRPr="00DD4652">
        <w:rPr>
          <w:rFonts w:eastAsia="Times New Roman"/>
          <w:sz w:val="22"/>
        </w:rPr>
        <w:fldChar w:fldCharType="end"/>
      </w:r>
      <w:r w:rsidRPr="00DD4652">
        <w:rPr>
          <w:rFonts w:eastAsia="Times New Roman"/>
          <w:sz w:val="22"/>
        </w:rPr>
        <w:t>. White cross-section robust standard errors are additionally employed to guard against violations of the classical assumptions</w:t>
      </w:r>
      <w:r w:rsidR="002A62CD" w:rsidRPr="00DD4652">
        <w:rPr>
          <w:rFonts w:eastAsia="Times New Roman"/>
          <w:sz w:val="22"/>
        </w:rPr>
        <w:t xml:space="preserve">. </w:t>
      </w:r>
    </w:p>
    <w:p w14:paraId="496B5ED4" w14:textId="77777777" w:rsidR="00D53992" w:rsidRPr="00DD4652" w:rsidRDefault="00D53992" w:rsidP="00917C19">
      <w:pPr>
        <w:spacing w:line="240" w:lineRule="auto"/>
        <w:ind w:firstLine="720"/>
        <w:jc w:val="both"/>
        <w:rPr>
          <w:rFonts w:eastAsia="Times New Roman"/>
          <w:sz w:val="22"/>
        </w:rPr>
      </w:pPr>
    </w:p>
    <w:p w14:paraId="26B1F560" w14:textId="223F94A9" w:rsidR="00D53992" w:rsidRPr="00DD4652" w:rsidRDefault="00D53992" w:rsidP="00B5317C">
      <w:pPr>
        <w:pStyle w:val="ListParagraph"/>
        <w:numPr>
          <w:ilvl w:val="1"/>
          <w:numId w:val="1"/>
        </w:numPr>
        <w:spacing w:line="240" w:lineRule="auto"/>
        <w:ind w:left="540" w:hanging="540"/>
        <w:jc w:val="both"/>
        <w:rPr>
          <w:rFonts w:eastAsia="Times New Roman"/>
          <w:b/>
          <w:bCs/>
          <w:sz w:val="22"/>
        </w:rPr>
      </w:pPr>
      <w:r w:rsidRPr="00DD4652">
        <w:rPr>
          <w:rFonts w:eastAsia="Times New Roman"/>
          <w:b/>
          <w:bCs/>
          <w:sz w:val="22"/>
        </w:rPr>
        <w:t>Classical Assumption Test</w:t>
      </w:r>
    </w:p>
    <w:p w14:paraId="14DD3C5C" w14:textId="567062C0" w:rsidR="00D53992" w:rsidRPr="00DD4652" w:rsidRDefault="00CA1021" w:rsidP="00B5317C">
      <w:pPr>
        <w:spacing w:line="240" w:lineRule="auto"/>
        <w:rPr>
          <w:rFonts w:eastAsia="Times New Roman"/>
          <w:sz w:val="22"/>
        </w:rPr>
      </w:pPr>
      <w:r w:rsidRPr="00DD4652">
        <w:rPr>
          <w:rFonts w:eastAsia="Times New Roman"/>
          <w:sz w:val="22"/>
        </w:rPr>
        <w:t>Table 2. Variance Inflation Factors (VIF)</w:t>
      </w:r>
    </w:p>
    <w:tbl>
      <w:tblPr>
        <w:tblStyle w:val="TableGrid"/>
        <w:tblW w:w="0" w:type="auto"/>
        <w:tblLook w:val="04A0" w:firstRow="1" w:lastRow="0" w:firstColumn="1" w:lastColumn="0" w:noHBand="0" w:noVBand="1"/>
      </w:tblPr>
      <w:tblGrid>
        <w:gridCol w:w="4389"/>
        <w:gridCol w:w="4389"/>
      </w:tblGrid>
      <w:tr w:rsidR="00B5317C" w:rsidRPr="00DD4652" w14:paraId="6FC2DFC2" w14:textId="77777777" w:rsidTr="00B5317C">
        <w:tc>
          <w:tcPr>
            <w:tcW w:w="4389" w:type="dxa"/>
          </w:tcPr>
          <w:p w14:paraId="60B97A61" w14:textId="7B23EF08"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b/>
                <w:bCs/>
                <w:sz w:val="22"/>
              </w:rPr>
              <w:t>Variables</w:t>
            </w:r>
          </w:p>
        </w:tc>
        <w:tc>
          <w:tcPr>
            <w:tcW w:w="4389" w:type="dxa"/>
          </w:tcPr>
          <w:p w14:paraId="4698D226" w14:textId="7ABCF8A5"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b/>
                <w:bCs/>
                <w:sz w:val="22"/>
              </w:rPr>
              <w:t>VIF</w:t>
            </w:r>
          </w:p>
        </w:tc>
      </w:tr>
      <w:tr w:rsidR="00B5317C" w:rsidRPr="00DD4652" w14:paraId="4C247B11" w14:textId="77777777" w:rsidTr="00B5317C">
        <w:tc>
          <w:tcPr>
            <w:tcW w:w="4389" w:type="dxa"/>
          </w:tcPr>
          <w:p w14:paraId="220EFB28" w14:textId="3E9BBDFD" w:rsidR="00B5317C" w:rsidRPr="00DD4652" w:rsidRDefault="00B5317C" w:rsidP="00B5317C">
            <w:pPr>
              <w:spacing w:line="240" w:lineRule="auto"/>
              <w:rPr>
                <w:rFonts w:ascii="Times New Roman" w:eastAsia="Times New Roman" w:hAnsi="Times New Roman" w:cs="Times New Roman"/>
                <w:sz w:val="22"/>
              </w:rPr>
            </w:pPr>
            <w:r w:rsidRPr="00DD4652">
              <w:rPr>
                <w:rFonts w:ascii="Times New Roman" w:eastAsia="Times New Roman" w:hAnsi="Times New Roman" w:cs="Times New Roman"/>
                <w:sz w:val="22"/>
              </w:rPr>
              <w:t>GCR_C</w:t>
            </w:r>
          </w:p>
        </w:tc>
        <w:tc>
          <w:tcPr>
            <w:tcW w:w="4389" w:type="dxa"/>
          </w:tcPr>
          <w:p w14:paraId="33C5F3BD" w14:textId="1089A7F6"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sz w:val="22"/>
              </w:rPr>
              <w:t>1.17</w:t>
            </w:r>
          </w:p>
        </w:tc>
      </w:tr>
      <w:tr w:rsidR="00B5317C" w:rsidRPr="00DD4652" w14:paraId="4CBB2194" w14:textId="77777777" w:rsidTr="00B5317C">
        <w:tc>
          <w:tcPr>
            <w:tcW w:w="4389" w:type="dxa"/>
          </w:tcPr>
          <w:p w14:paraId="2E921A1C" w14:textId="2AF55814" w:rsidR="00B5317C" w:rsidRPr="00DD4652" w:rsidRDefault="00B5317C" w:rsidP="00B5317C">
            <w:pPr>
              <w:spacing w:line="240" w:lineRule="auto"/>
              <w:rPr>
                <w:rFonts w:ascii="Times New Roman" w:eastAsia="Times New Roman" w:hAnsi="Times New Roman" w:cs="Times New Roman"/>
                <w:sz w:val="22"/>
              </w:rPr>
            </w:pPr>
            <w:r w:rsidRPr="00DD4652">
              <w:rPr>
                <w:rFonts w:ascii="Times New Roman" w:eastAsia="Times New Roman" w:hAnsi="Times New Roman" w:cs="Times New Roman"/>
                <w:sz w:val="22"/>
              </w:rPr>
              <w:t>NPL_C</w:t>
            </w:r>
          </w:p>
        </w:tc>
        <w:tc>
          <w:tcPr>
            <w:tcW w:w="4389" w:type="dxa"/>
          </w:tcPr>
          <w:p w14:paraId="36008355" w14:textId="0EFBA77A"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sz w:val="22"/>
              </w:rPr>
              <w:t>1.48</w:t>
            </w:r>
          </w:p>
        </w:tc>
      </w:tr>
      <w:tr w:rsidR="00B5317C" w:rsidRPr="00DD4652" w14:paraId="49EA1F58" w14:textId="77777777" w:rsidTr="00B5317C">
        <w:tc>
          <w:tcPr>
            <w:tcW w:w="4389" w:type="dxa"/>
          </w:tcPr>
          <w:p w14:paraId="42041277" w14:textId="4DD3D3CB" w:rsidR="00B5317C" w:rsidRPr="00DD4652" w:rsidRDefault="00B5317C" w:rsidP="00B5317C">
            <w:pPr>
              <w:spacing w:line="240" w:lineRule="auto"/>
              <w:rPr>
                <w:rFonts w:ascii="Times New Roman" w:eastAsia="Times New Roman" w:hAnsi="Times New Roman" w:cs="Times New Roman"/>
                <w:sz w:val="22"/>
              </w:rPr>
            </w:pPr>
            <w:r w:rsidRPr="00DD4652">
              <w:rPr>
                <w:rFonts w:ascii="Times New Roman" w:eastAsia="Times New Roman" w:hAnsi="Times New Roman" w:cs="Times New Roman"/>
                <w:sz w:val="22"/>
              </w:rPr>
              <w:t>SIZE_C</w:t>
            </w:r>
          </w:p>
        </w:tc>
        <w:tc>
          <w:tcPr>
            <w:tcW w:w="4389" w:type="dxa"/>
          </w:tcPr>
          <w:p w14:paraId="3145480E" w14:textId="37757BED"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sz w:val="22"/>
              </w:rPr>
              <w:t>1.16</w:t>
            </w:r>
          </w:p>
        </w:tc>
      </w:tr>
      <w:tr w:rsidR="00B5317C" w:rsidRPr="00DD4652" w14:paraId="3CB66631" w14:textId="77777777" w:rsidTr="00B5317C">
        <w:tc>
          <w:tcPr>
            <w:tcW w:w="4389" w:type="dxa"/>
          </w:tcPr>
          <w:p w14:paraId="35C16024" w14:textId="4F98DA87" w:rsidR="00B5317C" w:rsidRPr="00DD4652" w:rsidRDefault="00B5317C" w:rsidP="00B5317C">
            <w:pPr>
              <w:spacing w:line="240" w:lineRule="auto"/>
              <w:rPr>
                <w:rFonts w:ascii="Times New Roman" w:eastAsia="Times New Roman" w:hAnsi="Times New Roman" w:cs="Times New Roman"/>
                <w:sz w:val="22"/>
              </w:rPr>
            </w:pPr>
            <w:r w:rsidRPr="00DD4652">
              <w:rPr>
                <w:rFonts w:ascii="Times New Roman" w:eastAsia="Times New Roman" w:hAnsi="Times New Roman" w:cs="Times New Roman"/>
                <w:sz w:val="22"/>
              </w:rPr>
              <w:t>GCR×SIZE_C</w:t>
            </w:r>
          </w:p>
        </w:tc>
        <w:tc>
          <w:tcPr>
            <w:tcW w:w="4389" w:type="dxa"/>
          </w:tcPr>
          <w:p w14:paraId="56921181" w14:textId="34A8CFDA"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sz w:val="22"/>
              </w:rPr>
              <w:t>1.36</w:t>
            </w:r>
          </w:p>
        </w:tc>
      </w:tr>
      <w:tr w:rsidR="00B5317C" w:rsidRPr="00DD4652" w14:paraId="50798281" w14:textId="77777777" w:rsidTr="00B5317C">
        <w:tc>
          <w:tcPr>
            <w:tcW w:w="4389" w:type="dxa"/>
          </w:tcPr>
          <w:p w14:paraId="3C7B47F5" w14:textId="5E848DBC" w:rsidR="00B5317C" w:rsidRPr="00DD4652" w:rsidRDefault="00B5317C" w:rsidP="00B5317C">
            <w:pPr>
              <w:spacing w:line="240" w:lineRule="auto"/>
              <w:rPr>
                <w:rFonts w:ascii="Times New Roman" w:eastAsia="Times New Roman" w:hAnsi="Times New Roman" w:cs="Times New Roman"/>
                <w:sz w:val="22"/>
              </w:rPr>
            </w:pPr>
            <w:r w:rsidRPr="00DD4652">
              <w:rPr>
                <w:rFonts w:ascii="Times New Roman" w:eastAsia="Times New Roman" w:hAnsi="Times New Roman" w:cs="Times New Roman"/>
                <w:sz w:val="22"/>
              </w:rPr>
              <w:t>NPL×SIZE_C</w:t>
            </w:r>
          </w:p>
        </w:tc>
        <w:tc>
          <w:tcPr>
            <w:tcW w:w="4389" w:type="dxa"/>
          </w:tcPr>
          <w:p w14:paraId="608459E5" w14:textId="27625B0E" w:rsidR="00B5317C" w:rsidRPr="00DD4652" w:rsidRDefault="00B5317C" w:rsidP="00B5317C">
            <w:pPr>
              <w:spacing w:line="240" w:lineRule="auto"/>
              <w:jc w:val="center"/>
              <w:rPr>
                <w:rFonts w:ascii="Times New Roman" w:eastAsia="Times New Roman" w:hAnsi="Times New Roman" w:cs="Times New Roman"/>
                <w:sz w:val="22"/>
              </w:rPr>
            </w:pPr>
            <w:r w:rsidRPr="00DD4652">
              <w:rPr>
                <w:rFonts w:ascii="Times New Roman" w:eastAsia="Times New Roman" w:hAnsi="Times New Roman" w:cs="Times New Roman"/>
                <w:sz w:val="22"/>
              </w:rPr>
              <w:t>1.57</w:t>
            </w:r>
          </w:p>
        </w:tc>
      </w:tr>
    </w:tbl>
    <w:p w14:paraId="466693E2" w14:textId="77777777" w:rsidR="00B5317C" w:rsidRPr="00DD4652" w:rsidRDefault="00B5317C" w:rsidP="00917C19">
      <w:pPr>
        <w:spacing w:line="240" w:lineRule="auto"/>
        <w:jc w:val="both"/>
        <w:rPr>
          <w:rFonts w:eastAsia="Times New Roman"/>
          <w:sz w:val="22"/>
        </w:rPr>
      </w:pPr>
    </w:p>
    <w:p w14:paraId="744A7720" w14:textId="5D93E955" w:rsidR="00D53992" w:rsidRPr="00DD4652" w:rsidRDefault="00B5317C" w:rsidP="00B5317C">
      <w:pPr>
        <w:spacing w:line="240" w:lineRule="auto"/>
        <w:ind w:firstLine="540"/>
        <w:jc w:val="both"/>
        <w:rPr>
          <w:rFonts w:eastAsia="Times New Roman"/>
          <w:sz w:val="22"/>
        </w:rPr>
      </w:pPr>
      <w:r w:rsidRPr="00DD4652">
        <w:rPr>
          <w:rFonts w:eastAsia="Times New Roman"/>
          <w:sz w:val="22"/>
        </w:rPr>
        <w:t xml:space="preserve">Table 2 shows </w:t>
      </w:r>
      <w:r w:rsidR="00D53992" w:rsidRPr="00DD4652">
        <w:rPr>
          <w:rFonts w:eastAsia="Times New Roman"/>
          <w:sz w:val="22"/>
        </w:rPr>
        <w:t>moderated regression is prone to multicollinearity between predictors and their interaction terms, all predictors and the moderator were mean-centered prior to constructing the interactions. The resulting variance inflation factors range from 1.16 to 1.57, all well below the threshold of 10, confirming that multicollinearity is not a concern. This is a substantial improvement over the uncentered specification, in which the same terms produced VIFs of 48</w:t>
      </w:r>
      <w:r w:rsidR="00B3266D">
        <w:rPr>
          <w:rFonts w:eastAsia="Times New Roman"/>
          <w:sz w:val="22"/>
        </w:rPr>
        <w:t>-</w:t>
      </w:r>
      <w:r w:rsidR="00D53992" w:rsidRPr="00DD4652">
        <w:rPr>
          <w:rFonts w:eastAsia="Times New Roman"/>
          <w:sz w:val="22"/>
        </w:rPr>
        <w:t>58</w:t>
      </w:r>
      <w:r w:rsidRPr="00DD4652">
        <w:rPr>
          <w:rFonts w:eastAsia="Times New Roman"/>
          <w:sz w:val="22"/>
        </w:rPr>
        <w:t>.</w:t>
      </w:r>
      <w:r w:rsidR="00D53992" w:rsidRPr="00DD4652">
        <w:rPr>
          <w:rFonts w:eastAsia="Times New Roman"/>
          <w:sz w:val="22"/>
        </w:rPr>
        <w:t xml:space="preserve"> </w:t>
      </w:r>
      <w:r w:rsidRPr="00DD4652">
        <w:rPr>
          <w:rFonts w:eastAsia="Times New Roman"/>
          <w:sz w:val="22"/>
        </w:rPr>
        <w:t>M</w:t>
      </w:r>
      <w:r w:rsidR="00D53992" w:rsidRPr="00DD4652">
        <w:rPr>
          <w:rFonts w:eastAsia="Times New Roman"/>
          <w:sz w:val="22"/>
        </w:rPr>
        <w:t>ean-centering therefore resolves the coefficient instability that would otherwise distort the main effects.</w:t>
      </w:r>
    </w:p>
    <w:p w14:paraId="32DD5429" w14:textId="4BEEA757" w:rsidR="00D53992" w:rsidRPr="00DD4652" w:rsidRDefault="00D53992" w:rsidP="00B5317C">
      <w:pPr>
        <w:pStyle w:val="ListParagraph"/>
        <w:numPr>
          <w:ilvl w:val="1"/>
          <w:numId w:val="1"/>
        </w:numPr>
        <w:spacing w:line="240" w:lineRule="auto"/>
        <w:ind w:left="540" w:hanging="540"/>
        <w:jc w:val="both"/>
        <w:rPr>
          <w:rFonts w:eastAsia="Times New Roman"/>
          <w:sz w:val="22"/>
        </w:rPr>
      </w:pPr>
      <w:r w:rsidRPr="00DD4652">
        <w:rPr>
          <w:rFonts w:eastAsia="Times New Roman"/>
          <w:b/>
          <w:bCs/>
          <w:sz w:val="22"/>
        </w:rPr>
        <w:lastRenderedPageBreak/>
        <w:t>Heteroskedasticity</w:t>
      </w:r>
      <w:r w:rsidR="00B5317C" w:rsidRPr="00DD4652">
        <w:rPr>
          <w:rFonts w:eastAsia="Times New Roman"/>
          <w:b/>
          <w:bCs/>
          <w:sz w:val="22"/>
        </w:rPr>
        <w:t xml:space="preserve"> Test</w:t>
      </w:r>
    </w:p>
    <w:p w14:paraId="7C473895" w14:textId="1D7760A6" w:rsidR="00D53992" w:rsidRPr="00DD4652" w:rsidRDefault="00CA1021" w:rsidP="00B5317C">
      <w:pPr>
        <w:spacing w:line="240" w:lineRule="auto"/>
        <w:ind w:firstLine="540"/>
        <w:jc w:val="both"/>
        <w:rPr>
          <w:rFonts w:eastAsia="Times New Roman"/>
          <w:sz w:val="22"/>
        </w:rPr>
      </w:pPr>
      <w:r w:rsidRPr="00DD4652">
        <w:rPr>
          <w:rFonts w:eastAsia="Times New Roman"/>
          <w:sz w:val="22"/>
        </w:rPr>
        <w:t>R</w:t>
      </w:r>
      <w:r w:rsidR="00D53992" w:rsidRPr="00DD4652">
        <w:rPr>
          <w:rFonts w:eastAsia="Times New Roman"/>
          <w:sz w:val="22"/>
        </w:rPr>
        <w:t>esidual</w:t>
      </w:r>
      <w:r w:rsidRPr="00DD4652">
        <w:rPr>
          <w:rFonts w:eastAsia="Times New Roman"/>
          <w:sz w:val="22"/>
        </w:rPr>
        <w:t>-</w:t>
      </w:r>
      <w:r w:rsidR="00D53992" w:rsidRPr="00DD4652">
        <w:rPr>
          <w:rFonts w:eastAsia="Times New Roman"/>
          <w:sz w:val="22"/>
        </w:rPr>
        <w:t>based heteroskedasticity test indicates the presence of heteroskedasticity (LM=12.58, p=0.028), unsurprising given the extreme observations in the descriptive statistics. Accordingly, Table 2 reports results under two covariance specifications conventional and White cross-section heteroskedasticity-robust standard errors. Because heteroskedasticity is confirmed, the robust estimates serve as the primary basis for hypothesis testing, with the conventional estimates reported for transparency.</w:t>
      </w:r>
    </w:p>
    <w:p w14:paraId="3EE4223A" w14:textId="77777777" w:rsidR="00B5317C" w:rsidRPr="00DD4652" w:rsidRDefault="00B5317C" w:rsidP="00917C19">
      <w:pPr>
        <w:spacing w:line="240" w:lineRule="auto"/>
        <w:jc w:val="both"/>
        <w:rPr>
          <w:rFonts w:eastAsia="Times New Roman"/>
          <w:sz w:val="22"/>
        </w:rPr>
      </w:pPr>
    </w:p>
    <w:p w14:paraId="35073A15" w14:textId="216288B7" w:rsidR="00D53992" w:rsidRPr="00DD4652" w:rsidRDefault="00D53992" w:rsidP="00B5317C">
      <w:pPr>
        <w:pStyle w:val="ListParagraph"/>
        <w:numPr>
          <w:ilvl w:val="1"/>
          <w:numId w:val="1"/>
        </w:numPr>
        <w:spacing w:line="240" w:lineRule="auto"/>
        <w:ind w:left="540" w:hanging="540"/>
        <w:jc w:val="both"/>
        <w:rPr>
          <w:rFonts w:eastAsia="Times New Roman"/>
          <w:b/>
          <w:bCs/>
          <w:sz w:val="22"/>
        </w:rPr>
      </w:pPr>
      <w:r w:rsidRPr="00DD4652">
        <w:rPr>
          <w:rFonts w:eastAsia="Times New Roman"/>
          <w:b/>
          <w:bCs/>
          <w:sz w:val="22"/>
        </w:rPr>
        <w:t>Autocorrelation</w:t>
      </w:r>
      <w:r w:rsidR="00B5317C" w:rsidRPr="00DD4652">
        <w:rPr>
          <w:rFonts w:eastAsia="Times New Roman"/>
          <w:b/>
          <w:bCs/>
          <w:sz w:val="22"/>
        </w:rPr>
        <w:t xml:space="preserve"> Test</w:t>
      </w:r>
    </w:p>
    <w:p w14:paraId="67D89EEF" w14:textId="69CD2EE4" w:rsidR="002A62CD" w:rsidRPr="00DD4652" w:rsidRDefault="00D53992" w:rsidP="00B5317C">
      <w:pPr>
        <w:spacing w:line="240" w:lineRule="auto"/>
        <w:ind w:firstLine="540"/>
        <w:jc w:val="both"/>
        <w:rPr>
          <w:rFonts w:eastAsia="Times New Roman"/>
          <w:sz w:val="22"/>
        </w:rPr>
      </w:pPr>
      <w:r w:rsidRPr="00DD4652">
        <w:rPr>
          <w:rFonts w:eastAsia="Times New Roman"/>
          <w:sz w:val="22"/>
        </w:rPr>
        <w:t>The Durbin-Watson statistic of 1.833 lies close to 2, indicating no serious first order autocorrelation in the residuals.</w:t>
      </w:r>
      <w:r w:rsidR="00B5317C" w:rsidRPr="00DD4652">
        <w:rPr>
          <w:rFonts w:eastAsia="Times New Roman"/>
          <w:sz w:val="22"/>
        </w:rPr>
        <w:t xml:space="preserve"> </w:t>
      </w:r>
      <w:r w:rsidR="002A62CD" w:rsidRPr="00DD4652">
        <w:rPr>
          <w:rFonts w:eastAsia="Times New Roman"/>
          <w:sz w:val="22"/>
        </w:rPr>
        <w:t>Furthermore, based on the panel-data regression model selection using EViews, the Chow test and Hausman test indicate probability values &lt;0.05, so that the Fixed Effect Model (FEM) is more appropriate than the Common Effect Model (CEM) and the Random Effect Model (REM). The FEM result obtained in this study is presented below:</w:t>
      </w:r>
    </w:p>
    <w:p w14:paraId="4252E090" w14:textId="77777777" w:rsidR="00B5317C" w:rsidRPr="00DD4652" w:rsidRDefault="00B5317C" w:rsidP="00B5317C">
      <w:pPr>
        <w:spacing w:line="240" w:lineRule="auto"/>
        <w:rPr>
          <w:rFonts w:eastAsia="Times New Roman"/>
          <w:b/>
          <w:bCs/>
          <w:sz w:val="22"/>
        </w:rPr>
      </w:pPr>
    </w:p>
    <w:p w14:paraId="7C561E4C" w14:textId="1C4392D8" w:rsidR="002A62CD" w:rsidRPr="00DD4652" w:rsidRDefault="002A62CD" w:rsidP="00B5317C">
      <w:pPr>
        <w:spacing w:line="240" w:lineRule="auto"/>
        <w:rPr>
          <w:rFonts w:eastAsia="Times New Roman"/>
          <w:sz w:val="22"/>
        </w:rPr>
      </w:pPr>
      <w:r w:rsidRPr="00DD4652">
        <w:rPr>
          <w:rFonts w:eastAsia="Times New Roman"/>
          <w:sz w:val="22"/>
        </w:rPr>
        <w:t xml:space="preserve">Table </w:t>
      </w:r>
      <w:r w:rsidR="00B3266D">
        <w:rPr>
          <w:rFonts w:eastAsia="Times New Roman"/>
          <w:sz w:val="22"/>
        </w:rPr>
        <w:t>3</w:t>
      </w:r>
      <w:r w:rsidRPr="00DD4652">
        <w:rPr>
          <w:rFonts w:eastAsia="Times New Roman"/>
          <w:sz w:val="22"/>
        </w:rPr>
        <w:t xml:space="preserve">. Fixed </w:t>
      </w:r>
      <w:r w:rsidR="00B5317C" w:rsidRPr="00DD4652">
        <w:rPr>
          <w:rFonts w:eastAsia="Times New Roman"/>
          <w:sz w:val="22"/>
        </w:rPr>
        <w:t>effect mod</w:t>
      </w:r>
      <w:r w:rsidRPr="00DD4652">
        <w:rPr>
          <w:rFonts w:eastAsia="Times New Roman"/>
          <w:sz w:val="22"/>
        </w:rPr>
        <w:t>el</w:t>
      </w:r>
    </w:p>
    <w:tbl>
      <w:tblPr>
        <w:tblStyle w:val="TableGrid"/>
        <w:tblW w:w="0" w:type="auto"/>
        <w:tblLook w:val="04A0" w:firstRow="1" w:lastRow="0" w:firstColumn="1" w:lastColumn="0" w:noHBand="0" w:noVBand="1"/>
      </w:tblPr>
      <w:tblGrid>
        <w:gridCol w:w="1384"/>
        <w:gridCol w:w="1414"/>
        <w:gridCol w:w="1622"/>
        <w:gridCol w:w="1622"/>
        <w:gridCol w:w="1368"/>
        <w:gridCol w:w="1368"/>
      </w:tblGrid>
      <w:tr w:rsidR="00896B3D" w:rsidRPr="00DD4652" w14:paraId="562C6066" w14:textId="77777777" w:rsidTr="00AB1136">
        <w:tc>
          <w:tcPr>
            <w:tcW w:w="1463" w:type="dxa"/>
            <w:vAlign w:val="center"/>
          </w:tcPr>
          <w:p w14:paraId="5F2A95B7" w14:textId="7B50E20D"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Variable</w:t>
            </w:r>
            <w:r w:rsidR="00F74454" w:rsidRPr="00DD4652">
              <w:rPr>
                <w:rFonts w:ascii="Times New Roman" w:hAnsi="Times New Roman" w:cs="Times New Roman"/>
                <w:b/>
                <w:bCs/>
                <w:sz w:val="22"/>
              </w:rPr>
              <w:t>s</w:t>
            </w:r>
          </w:p>
        </w:tc>
        <w:tc>
          <w:tcPr>
            <w:tcW w:w="1463" w:type="dxa"/>
            <w:vAlign w:val="center"/>
          </w:tcPr>
          <w:p w14:paraId="7FBE7E52" w14:textId="1AA84843"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Coefficient</w:t>
            </w:r>
          </w:p>
        </w:tc>
        <w:tc>
          <w:tcPr>
            <w:tcW w:w="1463" w:type="dxa"/>
            <w:vAlign w:val="center"/>
          </w:tcPr>
          <w:p w14:paraId="4A00FEC2" w14:textId="44E8FFAA"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SE (Conventional)</w:t>
            </w:r>
          </w:p>
        </w:tc>
        <w:tc>
          <w:tcPr>
            <w:tcW w:w="1463" w:type="dxa"/>
            <w:vAlign w:val="center"/>
          </w:tcPr>
          <w:p w14:paraId="233A32C4" w14:textId="39A507FB"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p-value (Conventional)</w:t>
            </w:r>
          </w:p>
        </w:tc>
        <w:tc>
          <w:tcPr>
            <w:tcW w:w="1463" w:type="dxa"/>
            <w:vAlign w:val="center"/>
          </w:tcPr>
          <w:p w14:paraId="0ABA5E53" w14:textId="0B2FFF41"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SE (Robust)</w:t>
            </w:r>
          </w:p>
        </w:tc>
        <w:tc>
          <w:tcPr>
            <w:tcW w:w="1463" w:type="dxa"/>
            <w:vAlign w:val="center"/>
          </w:tcPr>
          <w:p w14:paraId="2AC156D1" w14:textId="4B6016A3"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b/>
                <w:bCs/>
                <w:sz w:val="22"/>
              </w:rPr>
              <w:t>p-value (Robust)</w:t>
            </w:r>
          </w:p>
        </w:tc>
      </w:tr>
      <w:tr w:rsidR="00896B3D" w:rsidRPr="00DD4652" w14:paraId="1C1DBAE1" w14:textId="77777777" w:rsidTr="00AB1136">
        <w:tc>
          <w:tcPr>
            <w:tcW w:w="1463" w:type="dxa"/>
            <w:vAlign w:val="center"/>
          </w:tcPr>
          <w:p w14:paraId="7F7B060A" w14:textId="405143A1"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Constant (C)</w:t>
            </w:r>
          </w:p>
        </w:tc>
        <w:tc>
          <w:tcPr>
            <w:tcW w:w="1463" w:type="dxa"/>
            <w:vAlign w:val="center"/>
          </w:tcPr>
          <w:p w14:paraId="2DA3976F" w14:textId="25ED5BDD"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0.89</w:t>
            </w:r>
            <w:r w:rsidR="00F74454" w:rsidRPr="00DD4652">
              <w:rPr>
                <w:rFonts w:ascii="Times New Roman" w:hAnsi="Times New Roman" w:cs="Times New Roman"/>
                <w:sz w:val="22"/>
              </w:rPr>
              <w:t>6</w:t>
            </w:r>
          </w:p>
        </w:tc>
        <w:tc>
          <w:tcPr>
            <w:tcW w:w="1463" w:type="dxa"/>
            <w:vAlign w:val="center"/>
          </w:tcPr>
          <w:p w14:paraId="77F54314" w14:textId="20C64C1C"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0.15</w:t>
            </w:r>
            <w:r w:rsidR="00F74454" w:rsidRPr="00DD4652">
              <w:rPr>
                <w:rFonts w:ascii="Times New Roman" w:hAnsi="Times New Roman" w:cs="Times New Roman"/>
                <w:sz w:val="22"/>
              </w:rPr>
              <w:t>8</w:t>
            </w:r>
          </w:p>
        </w:tc>
        <w:tc>
          <w:tcPr>
            <w:tcW w:w="1463" w:type="dxa"/>
            <w:vAlign w:val="center"/>
          </w:tcPr>
          <w:p w14:paraId="171B5A98" w14:textId="1406667A"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0.000</w:t>
            </w:r>
          </w:p>
        </w:tc>
        <w:tc>
          <w:tcPr>
            <w:tcW w:w="1463" w:type="dxa"/>
            <w:vAlign w:val="center"/>
          </w:tcPr>
          <w:p w14:paraId="0F6F244E" w14:textId="604818F5"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0.179</w:t>
            </w:r>
          </w:p>
        </w:tc>
        <w:tc>
          <w:tcPr>
            <w:tcW w:w="1463" w:type="dxa"/>
            <w:vAlign w:val="center"/>
          </w:tcPr>
          <w:p w14:paraId="35D088D2" w14:textId="57078198"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0.000</w:t>
            </w:r>
          </w:p>
        </w:tc>
      </w:tr>
      <w:tr w:rsidR="00896B3D" w:rsidRPr="00DD4652" w14:paraId="1CED626C" w14:textId="77777777" w:rsidTr="00AB1136">
        <w:tc>
          <w:tcPr>
            <w:tcW w:w="1463" w:type="dxa"/>
            <w:vAlign w:val="center"/>
          </w:tcPr>
          <w:p w14:paraId="3B97145E" w14:textId="4FE04D91"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Green Credit</w:t>
            </w:r>
          </w:p>
        </w:tc>
        <w:tc>
          <w:tcPr>
            <w:tcW w:w="1463" w:type="dxa"/>
            <w:vAlign w:val="center"/>
          </w:tcPr>
          <w:p w14:paraId="2DF530B1" w14:textId="1DE9F9B7"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0.055</w:t>
            </w:r>
          </w:p>
        </w:tc>
        <w:tc>
          <w:tcPr>
            <w:tcW w:w="1463" w:type="dxa"/>
            <w:vAlign w:val="center"/>
          </w:tcPr>
          <w:p w14:paraId="3259C846" w14:textId="72629820"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0.031</w:t>
            </w:r>
          </w:p>
        </w:tc>
        <w:tc>
          <w:tcPr>
            <w:tcW w:w="1463" w:type="dxa"/>
            <w:vAlign w:val="center"/>
          </w:tcPr>
          <w:p w14:paraId="3964F454" w14:textId="53A167F5"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0.07</w:t>
            </w:r>
            <w:r w:rsidR="00F74454" w:rsidRPr="00DD4652">
              <w:rPr>
                <w:rFonts w:ascii="Times New Roman" w:hAnsi="Times New Roman" w:cs="Times New Roman"/>
                <w:sz w:val="22"/>
              </w:rPr>
              <w:t>8</w:t>
            </w:r>
          </w:p>
        </w:tc>
        <w:tc>
          <w:tcPr>
            <w:tcW w:w="1463" w:type="dxa"/>
            <w:vAlign w:val="center"/>
          </w:tcPr>
          <w:p w14:paraId="70FE1E9E" w14:textId="48F25FC5"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0.029</w:t>
            </w:r>
          </w:p>
        </w:tc>
        <w:tc>
          <w:tcPr>
            <w:tcW w:w="1463" w:type="dxa"/>
            <w:vAlign w:val="center"/>
          </w:tcPr>
          <w:p w14:paraId="5FE98703" w14:textId="56038267"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0.060</w:t>
            </w:r>
          </w:p>
        </w:tc>
      </w:tr>
      <w:tr w:rsidR="00896B3D" w:rsidRPr="00DD4652" w14:paraId="191D672B" w14:textId="77777777" w:rsidTr="00AB1136">
        <w:tc>
          <w:tcPr>
            <w:tcW w:w="1463" w:type="dxa"/>
            <w:vAlign w:val="center"/>
          </w:tcPr>
          <w:p w14:paraId="59E58507" w14:textId="17F56924"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NPL</w:t>
            </w:r>
          </w:p>
        </w:tc>
        <w:tc>
          <w:tcPr>
            <w:tcW w:w="1463" w:type="dxa"/>
            <w:vAlign w:val="center"/>
          </w:tcPr>
          <w:p w14:paraId="552D356F" w14:textId="52544AEE"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0.02</w:t>
            </w:r>
            <w:r w:rsidR="00F74454" w:rsidRPr="00DD4652">
              <w:rPr>
                <w:rFonts w:ascii="Times New Roman" w:hAnsi="Times New Roman" w:cs="Times New Roman"/>
                <w:sz w:val="22"/>
              </w:rPr>
              <w:t>2</w:t>
            </w:r>
          </w:p>
        </w:tc>
        <w:tc>
          <w:tcPr>
            <w:tcW w:w="1463" w:type="dxa"/>
            <w:vAlign w:val="center"/>
          </w:tcPr>
          <w:p w14:paraId="4267BFA3" w14:textId="4B72E82E"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0.192</w:t>
            </w:r>
          </w:p>
        </w:tc>
        <w:tc>
          <w:tcPr>
            <w:tcW w:w="1463" w:type="dxa"/>
            <w:vAlign w:val="center"/>
          </w:tcPr>
          <w:p w14:paraId="212FA1AA" w14:textId="51E9CB7F"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0.9</w:t>
            </w:r>
            <w:r w:rsidR="00F74454" w:rsidRPr="00DD4652">
              <w:rPr>
                <w:rFonts w:ascii="Times New Roman" w:hAnsi="Times New Roman" w:cs="Times New Roman"/>
                <w:sz w:val="22"/>
              </w:rPr>
              <w:t>10</w:t>
            </w:r>
          </w:p>
        </w:tc>
        <w:tc>
          <w:tcPr>
            <w:tcW w:w="1463" w:type="dxa"/>
            <w:vAlign w:val="center"/>
          </w:tcPr>
          <w:p w14:paraId="3B59BB3E" w14:textId="1550F092"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0.173</w:t>
            </w:r>
          </w:p>
        </w:tc>
        <w:tc>
          <w:tcPr>
            <w:tcW w:w="1463" w:type="dxa"/>
            <w:vAlign w:val="center"/>
          </w:tcPr>
          <w:p w14:paraId="7C71141C" w14:textId="5FAE8F9E"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0.899</w:t>
            </w:r>
          </w:p>
        </w:tc>
      </w:tr>
      <w:tr w:rsidR="00896B3D" w:rsidRPr="00DD4652" w14:paraId="0B7463E5" w14:textId="77777777" w:rsidTr="00AB1136">
        <w:tc>
          <w:tcPr>
            <w:tcW w:w="1463" w:type="dxa"/>
            <w:vAlign w:val="center"/>
          </w:tcPr>
          <w:p w14:paraId="180B8CCE" w14:textId="24EB5F31"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Bank Size</w:t>
            </w:r>
          </w:p>
        </w:tc>
        <w:tc>
          <w:tcPr>
            <w:tcW w:w="1463" w:type="dxa"/>
            <w:vAlign w:val="center"/>
          </w:tcPr>
          <w:p w14:paraId="0E256673" w14:textId="06CB68DA"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2.428</w:t>
            </w:r>
          </w:p>
        </w:tc>
        <w:tc>
          <w:tcPr>
            <w:tcW w:w="1463" w:type="dxa"/>
            <w:vAlign w:val="center"/>
          </w:tcPr>
          <w:p w14:paraId="4BD7F250" w14:textId="5DB327B3"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1.13</w:t>
            </w:r>
            <w:r w:rsidR="00F74454" w:rsidRPr="00DD4652">
              <w:rPr>
                <w:rFonts w:ascii="Times New Roman" w:hAnsi="Times New Roman" w:cs="Times New Roman"/>
                <w:sz w:val="22"/>
              </w:rPr>
              <w:t>2</w:t>
            </w:r>
          </w:p>
        </w:tc>
        <w:tc>
          <w:tcPr>
            <w:tcW w:w="1463" w:type="dxa"/>
            <w:vAlign w:val="center"/>
          </w:tcPr>
          <w:p w14:paraId="3677CB2B" w14:textId="558471A8"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0.03</w:t>
            </w:r>
            <w:r w:rsidR="00F74454" w:rsidRPr="00DD4652">
              <w:rPr>
                <w:rFonts w:ascii="Times New Roman" w:hAnsi="Times New Roman" w:cs="Times New Roman"/>
                <w:sz w:val="22"/>
              </w:rPr>
              <w:t>4</w:t>
            </w:r>
          </w:p>
        </w:tc>
        <w:tc>
          <w:tcPr>
            <w:tcW w:w="1463" w:type="dxa"/>
            <w:vAlign w:val="center"/>
          </w:tcPr>
          <w:p w14:paraId="2CB9FDE0" w14:textId="5D29C902"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1.637</w:t>
            </w:r>
          </w:p>
        </w:tc>
        <w:tc>
          <w:tcPr>
            <w:tcW w:w="1463" w:type="dxa"/>
            <w:vAlign w:val="center"/>
          </w:tcPr>
          <w:p w14:paraId="764D3843" w14:textId="72B70D58"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0.14</w:t>
            </w:r>
            <w:r w:rsidR="00F74454" w:rsidRPr="00DD4652">
              <w:rPr>
                <w:rFonts w:ascii="Times New Roman" w:hAnsi="Times New Roman" w:cs="Times New Roman"/>
                <w:sz w:val="22"/>
              </w:rPr>
              <w:t>1</w:t>
            </w:r>
          </w:p>
        </w:tc>
      </w:tr>
      <w:tr w:rsidR="00896B3D" w:rsidRPr="00DD4652" w14:paraId="7F941093" w14:textId="77777777" w:rsidTr="00AB1136">
        <w:tc>
          <w:tcPr>
            <w:tcW w:w="1463" w:type="dxa"/>
            <w:vAlign w:val="center"/>
          </w:tcPr>
          <w:p w14:paraId="0B28FDEB" w14:textId="4D8050EC"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Green Credit × Bank Size</w:t>
            </w:r>
          </w:p>
        </w:tc>
        <w:tc>
          <w:tcPr>
            <w:tcW w:w="1463" w:type="dxa"/>
            <w:vAlign w:val="center"/>
          </w:tcPr>
          <w:p w14:paraId="3EA1DCEA" w14:textId="3DAC0A00"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−0.06</w:t>
            </w:r>
            <w:r w:rsidR="00F74454" w:rsidRPr="00DD4652">
              <w:rPr>
                <w:rFonts w:ascii="Times New Roman" w:hAnsi="Times New Roman" w:cs="Times New Roman"/>
                <w:sz w:val="22"/>
              </w:rPr>
              <w:t>6</w:t>
            </w:r>
          </w:p>
        </w:tc>
        <w:tc>
          <w:tcPr>
            <w:tcW w:w="1463" w:type="dxa"/>
            <w:vAlign w:val="center"/>
          </w:tcPr>
          <w:p w14:paraId="62A4CDDB" w14:textId="123234C5"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0.02</w:t>
            </w:r>
            <w:r w:rsidR="00F74454" w:rsidRPr="00DD4652">
              <w:rPr>
                <w:rFonts w:ascii="Times New Roman" w:hAnsi="Times New Roman" w:cs="Times New Roman"/>
                <w:sz w:val="22"/>
              </w:rPr>
              <w:t>4</w:t>
            </w:r>
          </w:p>
        </w:tc>
        <w:tc>
          <w:tcPr>
            <w:tcW w:w="1463" w:type="dxa"/>
            <w:vAlign w:val="center"/>
          </w:tcPr>
          <w:p w14:paraId="677A2405" w14:textId="2F66C556"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0.00</w:t>
            </w:r>
            <w:r w:rsidR="00F74454" w:rsidRPr="00DD4652">
              <w:rPr>
                <w:rFonts w:ascii="Times New Roman" w:hAnsi="Times New Roman" w:cs="Times New Roman"/>
                <w:sz w:val="22"/>
              </w:rPr>
              <w:t>7</w:t>
            </w:r>
          </w:p>
        </w:tc>
        <w:tc>
          <w:tcPr>
            <w:tcW w:w="1463" w:type="dxa"/>
            <w:vAlign w:val="center"/>
          </w:tcPr>
          <w:p w14:paraId="53C4CF5F" w14:textId="3833FE58"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0.03</w:t>
            </w:r>
            <w:r w:rsidR="00F74454" w:rsidRPr="00DD4652">
              <w:rPr>
                <w:rFonts w:ascii="Times New Roman" w:hAnsi="Times New Roman" w:cs="Times New Roman"/>
                <w:sz w:val="22"/>
              </w:rPr>
              <w:t>6</w:t>
            </w:r>
          </w:p>
        </w:tc>
        <w:tc>
          <w:tcPr>
            <w:tcW w:w="1463" w:type="dxa"/>
            <w:vAlign w:val="center"/>
          </w:tcPr>
          <w:p w14:paraId="40545D82" w14:textId="6C2D5340"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0.06</w:t>
            </w:r>
            <w:r w:rsidR="00F74454" w:rsidRPr="00DD4652">
              <w:rPr>
                <w:rFonts w:ascii="Times New Roman" w:hAnsi="Times New Roman" w:cs="Times New Roman"/>
                <w:sz w:val="22"/>
              </w:rPr>
              <w:t>8</w:t>
            </w:r>
          </w:p>
        </w:tc>
      </w:tr>
      <w:tr w:rsidR="00896B3D" w:rsidRPr="00DD4652" w14:paraId="5251B161" w14:textId="77777777" w:rsidTr="00AB1136">
        <w:tc>
          <w:tcPr>
            <w:tcW w:w="1463" w:type="dxa"/>
            <w:vAlign w:val="center"/>
          </w:tcPr>
          <w:p w14:paraId="1EBD2680" w14:textId="2466C8ED" w:rsidR="00896B3D" w:rsidRPr="00DD4652" w:rsidRDefault="00896B3D" w:rsidP="00896B3D">
            <w:pPr>
              <w:spacing w:line="240" w:lineRule="auto"/>
              <w:rPr>
                <w:rFonts w:ascii="Times New Roman" w:eastAsia="Times New Roman" w:hAnsi="Times New Roman" w:cs="Times New Roman"/>
                <w:sz w:val="22"/>
              </w:rPr>
            </w:pPr>
            <w:r w:rsidRPr="00DD4652">
              <w:rPr>
                <w:rFonts w:ascii="Times New Roman" w:hAnsi="Times New Roman" w:cs="Times New Roman"/>
                <w:sz w:val="22"/>
              </w:rPr>
              <w:t>NPL × Bank Size</w:t>
            </w:r>
          </w:p>
        </w:tc>
        <w:tc>
          <w:tcPr>
            <w:tcW w:w="1463" w:type="dxa"/>
            <w:vAlign w:val="center"/>
          </w:tcPr>
          <w:p w14:paraId="597AAFD3" w14:textId="0C08691C"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−0.200</w:t>
            </w:r>
          </w:p>
        </w:tc>
        <w:tc>
          <w:tcPr>
            <w:tcW w:w="1463" w:type="dxa"/>
            <w:vAlign w:val="center"/>
          </w:tcPr>
          <w:p w14:paraId="52B81BC0" w14:textId="0D91235D"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0.11</w:t>
            </w:r>
            <w:r w:rsidR="00F74454" w:rsidRPr="00DD4652">
              <w:rPr>
                <w:rFonts w:ascii="Times New Roman" w:hAnsi="Times New Roman" w:cs="Times New Roman"/>
                <w:sz w:val="22"/>
              </w:rPr>
              <w:t>2</w:t>
            </w:r>
          </w:p>
        </w:tc>
        <w:tc>
          <w:tcPr>
            <w:tcW w:w="1463" w:type="dxa"/>
            <w:vAlign w:val="center"/>
          </w:tcPr>
          <w:p w14:paraId="7C0D7661" w14:textId="7861F02E"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0.07</w:t>
            </w:r>
            <w:r w:rsidR="00F74454" w:rsidRPr="00DD4652">
              <w:rPr>
                <w:rFonts w:ascii="Times New Roman" w:hAnsi="Times New Roman" w:cs="Times New Roman"/>
                <w:sz w:val="22"/>
              </w:rPr>
              <w:t>6</w:t>
            </w:r>
          </w:p>
        </w:tc>
        <w:tc>
          <w:tcPr>
            <w:tcW w:w="1463" w:type="dxa"/>
            <w:vAlign w:val="center"/>
          </w:tcPr>
          <w:p w14:paraId="2B835B14" w14:textId="3DB1549B"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0.130</w:t>
            </w:r>
          </w:p>
        </w:tc>
        <w:tc>
          <w:tcPr>
            <w:tcW w:w="1463" w:type="dxa"/>
            <w:vAlign w:val="center"/>
          </w:tcPr>
          <w:p w14:paraId="6949E136" w14:textId="6B967649" w:rsidR="00896B3D" w:rsidRPr="00DD4652" w:rsidRDefault="00896B3D" w:rsidP="00F74454">
            <w:pPr>
              <w:spacing w:line="240" w:lineRule="auto"/>
              <w:jc w:val="center"/>
              <w:rPr>
                <w:rFonts w:ascii="Times New Roman" w:eastAsia="Times New Roman" w:hAnsi="Times New Roman" w:cs="Times New Roman"/>
                <w:sz w:val="22"/>
              </w:rPr>
            </w:pPr>
            <w:r w:rsidRPr="00DD4652">
              <w:rPr>
                <w:rFonts w:ascii="Times New Roman" w:hAnsi="Times New Roman" w:cs="Times New Roman"/>
                <w:sz w:val="22"/>
              </w:rPr>
              <w:t>0.12</w:t>
            </w:r>
            <w:r w:rsidR="00F74454" w:rsidRPr="00DD4652">
              <w:rPr>
                <w:rFonts w:ascii="Times New Roman" w:hAnsi="Times New Roman" w:cs="Times New Roman"/>
                <w:sz w:val="22"/>
              </w:rPr>
              <w:t>8</w:t>
            </w:r>
          </w:p>
        </w:tc>
      </w:tr>
    </w:tbl>
    <w:p w14:paraId="767E01D6" w14:textId="77777777" w:rsidR="00896B3D" w:rsidRPr="00DD4652" w:rsidRDefault="00896B3D" w:rsidP="00B5317C">
      <w:pPr>
        <w:spacing w:line="240" w:lineRule="auto"/>
        <w:rPr>
          <w:rFonts w:eastAsia="Times New Roman"/>
          <w:sz w:val="22"/>
        </w:rPr>
      </w:pPr>
    </w:p>
    <w:p w14:paraId="0317CB83" w14:textId="206CAC18" w:rsidR="00F74454" w:rsidRPr="00DD4652" w:rsidRDefault="00F74454" w:rsidP="00F74454">
      <w:pPr>
        <w:spacing w:line="240" w:lineRule="auto"/>
        <w:ind w:firstLine="540"/>
        <w:jc w:val="both"/>
        <w:rPr>
          <w:sz w:val="22"/>
        </w:rPr>
      </w:pPr>
      <w:r w:rsidRPr="00DD4652">
        <w:rPr>
          <w:sz w:val="22"/>
        </w:rPr>
        <w:t xml:space="preserve">Table </w:t>
      </w:r>
      <w:r w:rsidR="00B3266D">
        <w:rPr>
          <w:sz w:val="22"/>
        </w:rPr>
        <w:t>3</w:t>
      </w:r>
      <w:r w:rsidRPr="00DD4652">
        <w:rPr>
          <w:sz w:val="22"/>
        </w:rPr>
        <w:t xml:space="preserve"> shows the moderated regression analysis results. The findings indicate that green credit has a positive but marginal effect on ROA (β=0.0552; p=0.0600), while NPL has no significant effect on profitability (β=0.0219; p=0.8996). The interaction between green credit and bank size shows a negative moderating effect (β=−0.0658; p=0.0677), suggesting that bank size may weaken the impact of green credit on ROA. Meanwhile, bank size does not significantly moderate the NPL</w:t>
      </w:r>
      <w:r w:rsidR="00B3266D">
        <w:rPr>
          <w:sz w:val="22"/>
        </w:rPr>
        <w:t>-</w:t>
      </w:r>
      <w:r w:rsidRPr="00DD4652">
        <w:rPr>
          <w:sz w:val="22"/>
        </w:rPr>
        <w:t>ROA relationship (β=−0.2001; p=0.1276).</w:t>
      </w:r>
    </w:p>
    <w:p w14:paraId="45AB4A0E" w14:textId="77777777" w:rsidR="00896B3D" w:rsidRPr="00DD4652" w:rsidRDefault="00896B3D" w:rsidP="00B5317C">
      <w:pPr>
        <w:spacing w:line="240" w:lineRule="auto"/>
        <w:rPr>
          <w:sz w:val="22"/>
        </w:rPr>
      </w:pPr>
    </w:p>
    <w:p w14:paraId="45FB416B" w14:textId="494F306F" w:rsidR="00B5317C" w:rsidRPr="00DD4652" w:rsidRDefault="00F74454" w:rsidP="00F74454">
      <w:pPr>
        <w:spacing w:line="240" w:lineRule="auto"/>
        <w:rPr>
          <w:sz w:val="22"/>
        </w:rPr>
      </w:pPr>
      <w:r w:rsidRPr="00DD4652">
        <w:rPr>
          <w:sz w:val="22"/>
        </w:rPr>
        <w:t xml:space="preserve">Table </w:t>
      </w:r>
      <w:r w:rsidR="00B3266D">
        <w:rPr>
          <w:sz w:val="22"/>
        </w:rPr>
        <w:t>4</w:t>
      </w:r>
      <w:r w:rsidRPr="00DD4652">
        <w:rPr>
          <w:sz w:val="22"/>
        </w:rPr>
        <w:t>. Regression diagnostics</w:t>
      </w:r>
    </w:p>
    <w:tbl>
      <w:tblPr>
        <w:tblStyle w:val="TableGrid"/>
        <w:tblW w:w="8815" w:type="dxa"/>
        <w:tblLook w:val="04A0" w:firstRow="1" w:lastRow="0" w:firstColumn="1" w:lastColumn="0" w:noHBand="0" w:noVBand="1"/>
      </w:tblPr>
      <w:tblGrid>
        <w:gridCol w:w="2678"/>
        <w:gridCol w:w="1277"/>
        <w:gridCol w:w="3690"/>
        <w:gridCol w:w="1170"/>
      </w:tblGrid>
      <w:tr w:rsidR="00F74454" w:rsidRPr="00DD4652" w14:paraId="74F18140" w14:textId="77777777" w:rsidTr="00C25B5D">
        <w:tc>
          <w:tcPr>
            <w:tcW w:w="0" w:type="auto"/>
            <w:vAlign w:val="center"/>
          </w:tcPr>
          <w:p w14:paraId="0EFD41E9" w14:textId="680317F4"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b/>
                <w:bCs/>
                <w:sz w:val="22"/>
              </w:rPr>
              <w:t>Statistic</w:t>
            </w:r>
          </w:p>
        </w:tc>
        <w:tc>
          <w:tcPr>
            <w:tcW w:w="1277" w:type="dxa"/>
            <w:vAlign w:val="center"/>
          </w:tcPr>
          <w:p w14:paraId="24D63188" w14:textId="59BAEA45"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b/>
                <w:bCs/>
                <w:sz w:val="22"/>
              </w:rPr>
              <w:t>Value</w:t>
            </w:r>
          </w:p>
        </w:tc>
        <w:tc>
          <w:tcPr>
            <w:tcW w:w="3690" w:type="dxa"/>
            <w:vAlign w:val="center"/>
          </w:tcPr>
          <w:p w14:paraId="4836F67D" w14:textId="72BA31DB"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b/>
                <w:bCs/>
                <w:sz w:val="22"/>
              </w:rPr>
              <w:t>Statistic</w:t>
            </w:r>
          </w:p>
        </w:tc>
        <w:tc>
          <w:tcPr>
            <w:tcW w:w="1170" w:type="dxa"/>
            <w:vAlign w:val="center"/>
          </w:tcPr>
          <w:p w14:paraId="7F9AE935" w14:textId="6C1781C3"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b/>
                <w:bCs/>
                <w:sz w:val="22"/>
              </w:rPr>
              <w:t>Value</w:t>
            </w:r>
          </w:p>
        </w:tc>
      </w:tr>
      <w:tr w:rsidR="00F74454" w:rsidRPr="00DD4652" w14:paraId="6C8EEEE4" w14:textId="77777777" w:rsidTr="00C25B5D">
        <w:tc>
          <w:tcPr>
            <w:tcW w:w="0" w:type="auto"/>
            <w:vAlign w:val="center"/>
          </w:tcPr>
          <w:p w14:paraId="6FF85CC6" w14:textId="5CDA028F"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R-squared</w:t>
            </w:r>
          </w:p>
        </w:tc>
        <w:tc>
          <w:tcPr>
            <w:tcW w:w="1277" w:type="dxa"/>
            <w:vAlign w:val="center"/>
          </w:tcPr>
          <w:p w14:paraId="260C00C2" w14:textId="083FDBD4"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0.72</w:t>
            </w:r>
            <w:r w:rsidR="00C25B5D" w:rsidRPr="00DD4652">
              <w:rPr>
                <w:rFonts w:ascii="Times New Roman" w:hAnsi="Times New Roman" w:cs="Times New Roman"/>
                <w:sz w:val="22"/>
              </w:rPr>
              <w:t>8</w:t>
            </w:r>
          </w:p>
        </w:tc>
        <w:tc>
          <w:tcPr>
            <w:tcW w:w="3690" w:type="dxa"/>
            <w:vAlign w:val="center"/>
          </w:tcPr>
          <w:p w14:paraId="3585CA73" w14:textId="690A4ECE"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Mean dependent variable</w:t>
            </w:r>
          </w:p>
        </w:tc>
        <w:tc>
          <w:tcPr>
            <w:tcW w:w="1170" w:type="dxa"/>
            <w:vAlign w:val="center"/>
          </w:tcPr>
          <w:p w14:paraId="68B46B8D" w14:textId="247D76DA"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1.057</w:t>
            </w:r>
          </w:p>
        </w:tc>
      </w:tr>
      <w:tr w:rsidR="00F74454" w:rsidRPr="00DD4652" w14:paraId="2BAC3DCF" w14:textId="77777777" w:rsidTr="00C25B5D">
        <w:tc>
          <w:tcPr>
            <w:tcW w:w="0" w:type="auto"/>
            <w:vAlign w:val="center"/>
          </w:tcPr>
          <w:p w14:paraId="426F8588" w14:textId="44104EF1"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Adjusted R-squared</w:t>
            </w:r>
          </w:p>
        </w:tc>
        <w:tc>
          <w:tcPr>
            <w:tcW w:w="1277" w:type="dxa"/>
            <w:vAlign w:val="center"/>
          </w:tcPr>
          <w:p w14:paraId="4B62910A" w14:textId="5FE0E424"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0.624</w:t>
            </w:r>
          </w:p>
        </w:tc>
        <w:tc>
          <w:tcPr>
            <w:tcW w:w="3690" w:type="dxa"/>
            <w:vAlign w:val="center"/>
          </w:tcPr>
          <w:p w14:paraId="1F631649" w14:textId="6E123A11"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Standard deviation dependent variable</w:t>
            </w:r>
          </w:p>
        </w:tc>
        <w:tc>
          <w:tcPr>
            <w:tcW w:w="1170" w:type="dxa"/>
            <w:vAlign w:val="center"/>
          </w:tcPr>
          <w:p w14:paraId="375AA658" w14:textId="5B298DAF"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2.88</w:t>
            </w:r>
            <w:r w:rsidR="00C25B5D" w:rsidRPr="00DD4652">
              <w:rPr>
                <w:rFonts w:ascii="Times New Roman" w:hAnsi="Times New Roman" w:cs="Times New Roman"/>
                <w:sz w:val="22"/>
              </w:rPr>
              <w:t>5</w:t>
            </w:r>
          </w:p>
        </w:tc>
      </w:tr>
      <w:tr w:rsidR="00F74454" w:rsidRPr="00DD4652" w14:paraId="777D730D" w14:textId="77777777" w:rsidTr="00C25B5D">
        <w:tc>
          <w:tcPr>
            <w:tcW w:w="0" w:type="auto"/>
            <w:vAlign w:val="center"/>
          </w:tcPr>
          <w:p w14:paraId="09CBFEC0" w14:textId="615532E7"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Standard error of regression</w:t>
            </w:r>
          </w:p>
        </w:tc>
        <w:tc>
          <w:tcPr>
            <w:tcW w:w="1277" w:type="dxa"/>
            <w:vAlign w:val="center"/>
          </w:tcPr>
          <w:p w14:paraId="71F8C957" w14:textId="73D79FBD"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1.768</w:t>
            </w:r>
          </w:p>
        </w:tc>
        <w:tc>
          <w:tcPr>
            <w:tcW w:w="3690" w:type="dxa"/>
            <w:vAlign w:val="center"/>
          </w:tcPr>
          <w:p w14:paraId="7050F448" w14:textId="2A86971E"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Akaike information criterion</w:t>
            </w:r>
          </w:p>
        </w:tc>
        <w:tc>
          <w:tcPr>
            <w:tcW w:w="1170" w:type="dxa"/>
            <w:vAlign w:val="center"/>
          </w:tcPr>
          <w:p w14:paraId="6CB85ABA" w14:textId="558FFB7B"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4.2</w:t>
            </w:r>
            <w:r w:rsidR="00C25B5D" w:rsidRPr="00DD4652">
              <w:rPr>
                <w:rFonts w:ascii="Times New Roman" w:hAnsi="Times New Roman" w:cs="Times New Roman"/>
                <w:sz w:val="22"/>
              </w:rPr>
              <w:t>10</w:t>
            </w:r>
          </w:p>
        </w:tc>
      </w:tr>
      <w:tr w:rsidR="00F74454" w:rsidRPr="00DD4652" w14:paraId="2463513E" w14:textId="77777777" w:rsidTr="00C25B5D">
        <w:tc>
          <w:tcPr>
            <w:tcW w:w="0" w:type="auto"/>
            <w:vAlign w:val="center"/>
          </w:tcPr>
          <w:p w14:paraId="22B39FB4" w14:textId="6E1DC649"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Sum squared residual</w:t>
            </w:r>
          </w:p>
        </w:tc>
        <w:tc>
          <w:tcPr>
            <w:tcW w:w="1277" w:type="dxa"/>
            <w:vAlign w:val="center"/>
          </w:tcPr>
          <w:p w14:paraId="6002781B" w14:textId="3218138A"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369.045</w:t>
            </w:r>
          </w:p>
        </w:tc>
        <w:tc>
          <w:tcPr>
            <w:tcW w:w="3690" w:type="dxa"/>
            <w:vAlign w:val="center"/>
          </w:tcPr>
          <w:p w14:paraId="59C69B18" w14:textId="29E11E33"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Schwarz criterion</w:t>
            </w:r>
          </w:p>
        </w:tc>
        <w:tc>
          <w:tcPr>
            <w:tcW w:w="1170" w:type="dxa"/>
            <w:vAlign w:val="center"/>
          </w:tcPr>
          <w:p w14:paraId="3338C827" w14:textId="6137F155"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5.079</w:t>
            </w:r>
          </w:p>
        </w:tc>
      </w:tr>
      <w:tr w:rsidR="00F74454" w:rsidRPr="00DD4652" w14:paraId="1C0F2CF4" w14:textId="77777777" w:rsidTr="00C25B5D">
        <w:tc>
          <w:tcPr>
            <w:tcW w:w="0" w:type="auto"/>
            <w:vAlign w:val="center"/>
          </w:tcPr>
          <w:p w14:paraId="11307F88" w14:textId="7374D853"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Log likelihood</w:t>
            </w:r>
          </w:p>
        </w:tc>
        <w:tc>
          <w:tcPr>
            <w:tcW w:w="1277" w:type="dxa"/>
            <w:vAlign w:val="center"/>
          </w:tcPr>
          <w:p w14:paraId="0C994D3D" w14:textId="60B274F7"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−299.212</w:t>
            </w:r>
          </w:p>
        </w:tc>
        <w:tc>
          <w:tcPr>
            <w:tcW w:w="3690" w:type="dxa"/>
            <w:vAlign w:val="center"/>
          </w:tcPr>
          <w:p w14:paraId="7034E5EA" w14:textId="644E4184"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Hannan</w:t>
            </w:r>
            <w:r w:rsidR="00B3266D">
              <w:rPr>
                <w:rFonts w:ascii="Times New Roman" w:hAnsi="Times New Roman" w:cs="Times New Roman"/>
                <w:sz w:val="22"/>
              </w:rPr>
              <w:t>-</w:t>
            </w:r>
            <w:r w:rsidRPr="00DD4652">
              <w:rPr>
                <w:rFonts w:ascii="Times New Roman" w:hAnsi="Times New Roman" w:cs="Times New Roman"/>
                <w:sz w:val="22"/>
              </w:rPr>
              <w:t>Quinn criterion</w:t>
            </w:r>
          </w:p>
        </w:tc>
        <w:tc>
          <w:tcPr>
            <w:tcW w:w="1170" w:type="dxa"/>
            <w:vAlign w:val="center"/>
          </w:tcPr>
          <w:p w14:paraId="38652A29" w14:textId="3332242B"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4.56</w:t>
            </w:r>
            <w:r w:rsidR="00C25B5D" w:rsidRPr="00DD4652">
              <w:rPr>
                <w:rFonts w:ascii="Times New Roman" w:hAnsi="Times New Roman" w:cs="Times New Roman"/>
                <w:sz w:val="22"/>
              </w:rPr>
              <w:t>3</w:t>
            </w:r>
          </w:p>
        </w:tc>
      </w:tr>
      <w:tr w:rsidR="00F74454" w:rsidRPr="00DD4652" w14:paraId="41B9DD4B" w14:textId="77777777" w:rsidTr="00C25B5D">
        <w:tc>
          <w:tcPr>
            <w:tcW w:w="0" w:type="auto"/>
            <w:vAlign w:val="center"/>
          </w:tcPr>
          <w:p w14:paraId="51B0B13F" w14:textId="762AF680"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F-statistic</w:t>
            </w:r>
          </w:p>
        </w:tc>
        <w:tc>
          <w:tcPr>
            <w:tcW w:w="1277" w:type="dxa"/>
            <w:vAlign w:val="center"/>
          </w:tcPr>
          <w:p w14:paraId="028C993A" w14:textId="323E760A"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7.01</w:t>
            </w:r>
            <w:r w:rsidR="00C25B5D" w:rsidRPr="00DD4652">
              <w:rPr>
                <w:rFonts w:ascii="Times New Roman" w:hAnsi="Times New Roman" w:cs="Times New Roman"/>
                <w:sz w:val="22"/>
              </w:rPr>
              <w:t>6</w:t>
            </w:r>
          </w:p>
        </w:tc>
        <w:tc>
          <w:tcPr>
            <w:tcW w:w="3690" w:type="dxa"/>
            <w:vAlign w:val="center"/>
          </w:tcPr>
          <w:p w14:paraId="66DF09A7" w14:textId="595BC9BD"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Durbin</w:t>
            </w:r>
            <w:r w:rsidR="00B3266D">
              <w:rPr>
                <w:rFonts w:ascii="Times New Roman" w:hAnsi="Times New Roman" w:cs="Times New Roman"/>
                <w:sz w:val="22"/>
              </w:rPr>
              <w:t>-</w:t>
            </w:r>
            <w:r w:rsidRPr="00DD4652">
              <w:rPr>
                <w:rFonts w:ascii="Times New Roman" w:hAnsi="Times New Roman" w:cs="Times New Roman"/>
                <w:sz w:val="22"/>
              </w:rPr>
              <w:t>Watson statistic</w:t>
            </w:r>
          </w:p>
        </w:tc>
        <w:tc>
          <w:tcPr>
            <w:tcW w:w="1170" w:type="dxa"/>
            <w:vAlign w:val="center"/>
          </w:tcPr>
          <w:p w14:paraId="158245BB" w14:textId="5EEB1146"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1.83</w:t>
            </w:r>
            <w:r w:rsidR="00C25B5D" w:rsidRPr="00DD4652">
              <w:rPr>
                <w:rFonts w:ascii="Times New Roman" w:hAnsi="Times New Roman" w:cs="Times New Roman"/>
                <w:sz w:val="22"/>
              </w:rPr>
              <w:t>3</w:t>
            </w:r>
          </w:p>
        </w:tc>
      </w:tr>
      <w:tr w:rsidR="00F74454" w:rsidRPr="00DD4652" w14:paraId="44A4C9D3" w14:textId="77777777" w:rsidTr="00C25B5D">
        <w:tc>
          <w:tcPr>
            <w:tcW w:w="0" w:type="auto"/>
            <w:vAlign w:val="center"/>
          </w:tcPr>
          <w:p w14:paraId="280950A3" w14:textId="1B427182" w:rsidR="00F74454" w:rsidRPr="00DD4652" w:rsidRDefault="00F74454" w:rsidP="00F74454">
            <w:pPr>
              <w:spacing w:line="240" w:lineRule="auto"/>
              <w:rPr>
                <w:rFonts w:ascii="Times New Roman" w:hAnsi="Times New Roman" w:cs="Times New Roman"/>
                <w:sz w:val="22"/>
              </w:rPr>
            </w:pPr>
            <w:r w:rsidRPr="00DD4652">
              <w:rPr>
                <w:rFonts w:ascii="Times New Roman" w:hAnsi="Times New Roman" w:cs="Times New Roman"/>
                <w:sz w:val="22"/>
              </w:rPr>
              <w:t>Probability (F-statistic)</w:t>
            </w:r>
          </w:p>
        </w:tc>
        <w:tc>
          <w:tcPr>
            <w:tcW w:w="1277" w:type="dxa"/>
            <w:vAlign w:val="center"/>
          </w:tcPr>
          <w:p w14:paraId="0867436D" w14:textId="1A09BD43" w:rsidR="00F74454" w:rsidRPr="00DD4652" w:rsidRDefault="00F74454" w:rsidP="00F74454">
            <w:pPr>
              <w:spacing w:line="240" w:lineRule="auto"/>
              <w:jc w:val="center"/>
              <w:rPr>
                <w:rFonts w:ascii="Times New Roman" w:hAnsi="Times New Roman" w:cs="Times New Roman"/>
                <w:sz w:val="22"/>
              </w:rPr>
            </w:pPr>
            <w:r w:rsidRPr="00DD4652">
              <w:rPr>
                <w:rFonts w:ascii="Times New Roman" w:hAnsi="Times New Roman" w:cs="Times New Roman"/>
                <w:sz w:val="22"/>
              </w:rPr>
              <w:t>0.000</w:t>
            </w:r>
          </w:p>
        </w:tc>
        <w:tc>
          <w:tcPr>
            <w:tcW w:w="3690" w:type="dxa"/>
            <w:vAlign w:val="center"/>
          </w:tcPr>
          <w:p w14:paraId="7C9267A3" w14:textId="77777777" w:rsidR="00F74454" w:rsidRPr="00DD4652" w:rsidRDefault="00F74454" w:rsidP="00F74454">
            <w:pPr>
              <w:spacing w:line="240" w:lineRule="auto"/>
              <w:rPr>
                <w:rFonts w:ascii="Times New Roman" w:hAnsi="Times New Roman" w:cs="Times New Roman"/>
                <w:sz w:val="22"/>
              </w:rPr>
            </w:pPr>
          </w:p>
        </w:tc>
        <w:tc>
          <w:tcPr>
            <w:tcW w:w="1170" w:type="dxa"/>
            <w:vAlign w:val="center"/>
          </w:tcPr>
          <w:p w14:paraId="179EDD84" w14:textId="77777777" w:rsidR="00F74454" w:rsidRPr="00DD4652" w:rsidRDefault="00F74454" w:rsidP="00F74454">
            <w:pPr>
              <w:spacing w:line="240" w:lineRule="auto"/>
              <w:jc w:val="center"/>
              <w:rPr>
                <w:rFonts w:ascii="Times New Roman" w:hAnsi="Times New Roman" w:cs="Times New Roman"/>
                <w:sz w:val="22"/>
              </w:rPr>
            </w:pPr>
          </w:p>
        </w:tc>
      </w:tr>
    </w:tbl>
    <w:p w14:paraId="59CA2B47" w14:textId="77777777" w:rsidR="00B5317C" w:rsidRPr="00DD4652" w:rsidRDefault="00B5317C" w:rsidP="00917C19">
      <w:pPr>
        <w:spacing w:line="240" w:lineRule="auto"/>
        <w:jc w:val="both"/>
        <w:rPr>
          <w:rFonts w:eastAsia="Times New Roman"/>
          <w:sz w:val="22"/>
        </w:rPr>
      </w:pPr>
    </w:p>
    <w:p w14:paraId="63886785" w14:textId="7ACF416A" w:rsidR="00F74454" w:rsidRDefault="00F74454" w:rsidP="00F74454">
      <w:pPr>
        <w:spacing w:line="240" w:lineRule="auto"/>
        <w:ind w:firstLine="540"/>
        <w:jc w:val="both"/>
        <w:rPr>
          <w:rFonts w:eastAsia="Times New Roman"/>
          <w:sz w:val="22"/>
        </w:rPr>
      </w:pPr>
      <w:r w:rsidRPr="00DD4652">
        <w:rPr>
          <w:rFonts w:eastAsia="Times New Roman"/>
          <w:sz w:val="22"/>
        </w:rPr>
        <w:t xml:space="preserve">Table </w:t>
      </w:r>
      <w:r w:rsidR="00B3266D">
        <w:rPr>
          <w:rFonts w:eastAsia="Times New Roman"/>
          <w:sz w:val="22"/>
        </w:rPr>
        <w:t>4</w:t>
      </w:r>
      <w:r w:rsidRPr="00DD4652">
        <w:rPr>
          <w:rFonts w:eastAsia="Times New Roman"/>
          <w:sz w:val="22"/>
        </w:rPr>
        <w:t xml:space="preserve"> shows the model goodness-of-fit and diagnostic statistics. The results indicate that the regression model has strong explanatory power, with an R-squared value of 0.72</w:t>
      </w:r>
      <w:r w:rsidR="00C25B5D" w:rsidRPr="00DD4652">
        <w:rPr>
          <w:rFonts w:eastAsia="Times New Roman"/>
          <w:sz w:val="22"/>
        </w:rPr>
        <w:t>8</w:t>
      </w:r>
      <w:r w:rsidRPr="00DD4652">
        <w:rPr>
          <w:rFonts w:eastAsia="Times New Roman"/>
          <w:sz w:val="22"/>
        </w:rPr>
        <w:t>and an adjusted R-squared value of 0.624, meaning that the independent variables explain approximately 62.42% of the variation in ROA. The F-statistical probability of 0.000 confirms that the model is statistically significant. Furthermore, the Durbin</w:t>
      </w:r>
      <w:r w:rsidR="00B3266D">
        <w:rPr>
          <w:rFonts w:eastAsia="Times New Roman"/>
          <w:sz w:val="22"/>
        </w:rPr>
        <w:t>-</w:t>
      </w:r>
      <w:r w:rsidRPr="00DD4652">
        <w:rPr>
          <w:rFonts w:eastAsia="Times New Roman"/>
          <w:sz w:val="22"/>
        </w:rPr>
        <w:t>Watson statistic of 1.83</w:t>
      </w:r>
      <w:r w:rsidR="00C25B5D" w:rsidRPr="00DD4652">
        <w:rPr>
          <w:rFonts w:eastAsia="Times New Roman"/>
          <w:sz w:val="22"/>
        </w:rPr>
        <w:t>3</w:t>
      </w:r>
      <w:r w:rsidRPr="00DD4652">
        <w:rPr>
          <w:rFonts w:eastAsia="Times New Roman"/>
          <w:sz w:val="22"/>
        </w:rPr>
        <w:t xml:space="preserve"> indicates that the model does not experience serious autocorrelation problems.</w:t>
      </w:r>
    </w:p>
    <w:p w14:paraId="4BC62EDF" w14:textId="77777777" w:rsidR="00B3266D" w:rsidRPr="00DD4652" w:rsidRDefault="00B3266D" w:rsidP="00F74454">
      <w:pPr>
        <w:spacing w:line="240" w:lineRule="auto"/>
        <w:ind w:firstLine="540"/>
        <w:jc w:val="both"/>
        <w:rPr>
          <w:rFonts w:eastAsia="Times New Roman"/>
          <w:sz w:val="22"/>
        </w:rPr>
      </w:pPr>
    </w:p>
    <w:p w14:paraId="4B87C448" w14:textId="77777777" w:rsidR="00F74454" w:rsidRDefault="00F74454" w:rsidP="00917C19">
      <w:pPr>
        <w:spacing w:line="240" w:lineRule="auto"/>
        <w:jc w:val="both"/>
        <w:rPr>
          <w:rFonts w:eastAsia="Times New Roman"/>
          <w:sz w:val="22"/>
        </w:rPr>
      </w:pPr>
    </w:p>
    <w:p w14:paraId="40288F17" w14:textId="77777777" w:rsidR="00686399" w:rsidRPr="00DD4652" w:rsidRDefault="00686399" w:rsidP="00917C19">
      <w:pPr>
        <w:spacing w:line="240" w:lineRule="auto"/>
        <w:jc w:val="both"/>
        <w:rPr>
          <w:rFonts w:eastAsia="Times New Roman"/>
          <w:sz w:val="22"/>
        </w:rPr>
      </w:pPr>
    </w:p>
    <w:p w14:paraId="370F72B2" w14:textId="2D495C06" w:rsidR="00896B3D" w:rsidRPr="00DD4652" w:rsidRDefault="002A62CD" w:rsidP="00C25B5D">
      <w:pPr>
        <w:pStyle w:val="ListParagraph"/>
        <w:numPr>
          <w:ilvl w:val="1"/>
          <w:numId w:val="1"/>
        </w:numPr>
        <w:spacing w:line="240" w:lineRule="auto"/>
        <w:ind w:left="540" w:hanging="540"/>
        <w:jc w:val="both"/>
        <w:rPr>
          <w:rFonts w:eastAsia="Times New Roman"/>
          <w:b/>
          <w:bCs/>
          <w:sz w:val="22"/>
        </w:rPr>
      </w:pPr>
      <w:r w:rsidRPr="00DD4652">
        <w:rPr>
          <w:rFonts w:eastAsia="Times New Roman"/>
          <w:b/>
          <w:bCs/>
          <w:sz w:val="22"/>
        </w:rPr>
        <w:lastRenderedPageBreak/>
        <w:t xml:space="preserve">Moderated Regression Analysis </w:t>
      </w:r>
    </w:p>
    <w:p w14:paraId="388987C3" w14:textId="3EC8C3E1" w:rsidR="002A62CD" w:rsidRPr="00DD4652" w:rsidRDefault="002A62CD" w:rsidP="00C25B5D">
      <w:pPr>
        <w:spacing w:line="240" w:lineRule="auto"/>
        <w:ind w:firstLine="540"/>
        <w:jc w:val="both"/>
        <w:rPr>
          <w:rFonts w:eastAsia="Times New Roman"/>
          <w:sz w:val="22"/>
        </w:rPr>
      </w:pPr>
      <w:r w:rsidRPr="00DD4652">
        <w:rPr>
          <w:rFonts w:eastAsia="Times New Roman"/>
          <w:sz w:val="22"/>
        </w:rPr>
        <w:t xml:space="preserve">Moderated Regression Analysis (MRA) is a regression analysis method used to test whether a moderating variable strengthens or weakens the relationship between an independent variable and a dependent variable. In this study, the analysis was conducted to examine how green credit and Non-Performing Loan (NPL) affect Return on Assets (ROA), and how the moderating variable of </w:t>
      </w:r>
      <w:r w:rsidR="00D86769" w:rsidRPr="00DD4652">
        <w:rPr>
          <w:rFonts w:eastAsia="Times New Roman"/>
          <w:sz w:val="22"/>
        </w:rPr>
        <w:t>bank size</w:t>
      </w:r>
      <w:r w:rsidRPr="00DD4652">
        <w:rPr>
          <w:rFonts w:eastAsia="Times New Roman"/>
          <w:sz w:val="22"/>
        </w:rPr>
        <w:t xml:space="preserve"> (FIRMSIZE) plays a role in strengthening or weakening such relationships through the formation of interaction variables. Based on the estimation results using EViews, the regression equation obtained is as follows:</w:t>
      </w:r>
    </w:p>
    <w:p w14:paraId="0296C842" w14:textId="77777777" w:rsidR="00896B3D" w:rsidRPr="00DD4652" w:rsidRDefault="00896B3D" w:rsidP="00917C19">
      <w:pPr>
        <w:spacing w:line="240" w:lineRule="auto"/>
        <w:jc w:val="both"/>
        <w:rPr>
          <w:sz w:val="22"/>
        </w:rPr>
      </w:pPr>
    </w:p>
    <w:p w14:paraId="5C8A60A8" w14:textId="1D548A5C" w:rsidR="00963C34" w:rsidRPr="00DD4652" w:rsidRDefault="00963C34" w:rsidP="00557FEA">
      <w:pPr>
        <w:spacing w:line="240" w:lineRule="auto"/>
        <w:jc w:val="center"/>
        <w:rPr>
          <w:i/>
          <w:i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461"/>
      </w:tblGrid>
      <w:tr w:rsidR="00557FEA" w:rsidRPr="00DD4652" w14:paraId="1EE5FFA9" w14:textId="77777777" w:rsidTr="00557FEA">
        <w:tc>
          <w:tcPr>
            <w:tcW w:w="8365" w:type="dxa"/>
          </w:tcPr>
          <w:p w14:paraId="0A3453E9" w14:textId="7CE62819" w:rsidR="00557FEA" w:rsidRPr="00DD4652" w:rsidRDefault="00557FEA" w:rsidP="00557FEA">
            <w:pPr>
              <w:spacing w:line="240" w:lineRule="auto"/>
              <w:rPr>
                <w:sz w:val="20"/>
                <w:szCs w:val="20"/>
              </w:rPr>
            </w:pPr>
            <m:oMathPara>
              <m:oMath>
                <m:r>
                  <w:rPr>
                    <w:rFonts w:ascii="Cambria Math" w:eastAsia="Times New Roman" w:hAnsi="Cambria Math"/>
                    <w:sz w:val="20"/>
                    <w:szCs w:val="20"/>
                  </w:rPr>
                  <m:t>ROA = 0</m:t>
                </m:r>
                <m:r>
                  <w:rPr>
                    <w:rFonts w:ascii="Cambria Math" w:hAnsi="Cambria Math"/>
                    <w:sz w:val="20"/>
                    <w:szCs w:val="20"/>
                  </w:rPr>
                  <m:t>,895507 + 0,055168 GCR + 0,021875 NPL + 2,428320 SIZE - 0,065768 (GCR×SIZE) - 0,200132 (NPL×SIZE) + ε</m:t>
                </m:r>
              </m:oMath>
            </m:oMathPara>
          </w:p>
        </w:tc>
        <w:tc>
          <w:tcPr>
            <w:tcW w:w="413" w:type="dxa"/>
          </w:tcPr>
          <w:p w14:paraId="1483C9EB" w14:textId="23FF8F12" w:rsidR="00557FEA" w:rsidRPr="00DD4652" w:rsidRDefault="00557FEA" w:rsidP="00557FEA">
            <w:pPr>
              <w:spacing w:line="240" w:lineRule="auto"/>
              <w:jc w:val="right"/>
              <w:rPr>
                <w:sz w:val="22"/>
              </w:rPr>
            </w:pPr>
            <w:r w:rsidRPr="00DD4652">
              <w:rPr>
                <w:sz w:val="22"/>
              </w:rPr>
              <w:t>(6)</w:t>
            </w:r>
          </w:p>
        </w:tc>
      </w:tr>
    </w:tbl>
    <w:p w14:paraId="1F78903C" w14:textId="77777777" w:rsidR="00557FEA" w:rsidRPr="00DD4652" w:rsidRDefault="00557FEA" w:rsidP="00557FEA">
      <w:pPr>
        <w:spacing w:line="240" w:lineRule="auto"/>
        <w:rPr>
          <w:i/>
          <w:iCs/>
          <w:sz w:val="22"/>
        </w:rPr>
      </w:pPr>
    </w:p>
    <w:p w14:paraId="4DBE6410" w14:textId="31BEF6A3" w:rsidR="00963C34" w:rsidRPr="00DD4652" w:rsidRDefault="00557FEA" w:rsidP="00963C34">
      <w:pPr>
        <w:spacing w:line="240" w:lineRule="auto"/>
        <w:ind w:firstLine="540"/>
        <w:jc w:val="both"/>
        <w:rPr>
          <w:rFonts w:eastAsia="Times New Roman"/>
          <w:sz w:val="22"/>
        </w:rPr>
      </w:pPr>
      <w:r w:rsidRPr="00DD4652">
        <w:rPr>
          <w:rFonts w:eastAsia="Times New Roman"/>
          <w:sz w:val="22"/>
        </w:rPr>
        <w:t>Formula 6 shows t</w:t>
      </w:r>
      <w:r w:rsidR="00963C34" w:rsidRPr="00DD4652">
        <w:rPr>
          <w:rFonts w:eastAsia="Times New Roman"/>
          <w:sz w:val="22"/>
        </w:rPr>
        <w:t>he constant coefficient of 0.8955 indicates that when all centered predictors are equal to zero (representing the mean level of each variable), the estimated ROA is 0.90. This value represents the baseline level of bank profitability before considering the influence of the explanatory variables included in the model. The green credit coefficient of 0.0552 indicates a positive but weak relationship with ROA at the mean level of bank size. However, this effect is only marginally significant and its magnitude is influenced by the moderating role of bank size through the interaction term. Meanwhile, the NPL coefficient of 0.0219 is statistically insignificant (p=0.910), indicating that credit risk does not have a meaningful direct effect on ROA at the average level of bank size. Therefore, the positive coefficient should not be interpreted substantively due to its lack of statistical significance.</w:t>
      </w:r>
    </w:p>
    <w:p w14:paraId="32DF8814" w14:textId="269021A3" w:rsidR="00B418AB" w:rsidRPr="00DD4652" w:rsidRDefault="00963C34" w:rsidP="00963C34">
      <w:pPr>
        <w:spacing w:line="240" w:lineRule="auto"/>
        <w:ind w:firstLine="540"/>
        <w:jc w:val="both"/>
        <w:rPr>
          <w:rFonts w:eastAsia="Times New Roman"/>
          <w:sz w:val="22"/>
        </w:rPr>
      </w:pPr>
      <w:r w:rsidRPr="00DD4652">
        <w:rPr>
          <w:rFonts w:eastAsia="Times New Roman"/>
          <w:sz w:val="22"/>
        </w:rPr>
        <w:t>Furthermore, the interaction coefficient between green credit and bank size is negative (β=−0.0658), indicating that an increase in bank size reduces the positive impact of green credit on ROA. Similarly, the interaction between NPL and bank size also shows a negative coefficient (β=−0.2001), suggesting that larger bank size may reduce the effect of NPL on ROA</w:t>
      </w:r>
      <w:r w:rsidR="00557FEA" w:rsidRPr="00DD4652">
        <w:rPr>
          <w:rFonts w:eastAsia="Times New Roman"/>
          <w:sz w:val="22"/>
        </w:rPr>
        <w:t>.</w:t>
      </w:r>
      <w:r w:rsidRPr="00DD4652">
        <w:rPr>
          <w:rFonts w:eastAsia="Times New Roman"/>
          <w:sz w:val="22"/>
        </w:rPr>
        <w:t xml:space="preserve"> </w:t>
      </w:r>
      <w:r w:rsidR="00557FEA" w:rsidRPr="00DD4652">
        <w:rPr>
          <w:rFonts w:eastAsia="Times New Roman"/>
          <w:sz w:val="22"/>
        </w:rPr>
        <w:t>H</w:t>
      </w:r>
      <w:r w:rsidRPr="00DD4652">
        <w:rPr>
          <w:rFonts w:eastAsia="Times New Roman"/>
          <w:sz w:val="22"/>
        </w:rPr>
        <w:t>owever, this relationship is not statistically significant. The hypothesis testing results show that green credit has a positive coefficient with marginal significance (p=0.078 under conventional standard errors and p=0.060 under robust standard errors), providing weak support for</w:t>
      </w:r>
      <w:r w:rsidRPr="00DD4652">
        <w:rPr>
          <w:rFonts w:eastAsia="Times New Roman"/>
          <w:i/>
          <w:iCs/>
          <w:sz w:val="22"/>
        </w:rPr>
        <w:t xml:space="preserve"> H</w:t>
      </w:r>
      <w:r w:rsidRPr="00DD4652">
        <w:rPr>
          <w:rFonts w:eastAsia="Times New Roman"/>
          <w:i/>
          <w:iCs/>
          <w:sz w:val="22"/>
          <w:vertAlign w:val="subscript"/>
        </w:rPr>
        <w:t>1</w:t>
      </w:r>
      <w:r w:rsidRPr="00DD4652">
        <w:rPr>
          <w:rFonts w:eastAsia="Times New Roman"/>
          <w:sz w:val="22"/>
        </w:rPr>
        <w:t xml:space="preserve">. NPL is statistically insignificant (p=0.910 under conventional standard errors and p=0.900 under robust standard errors), indicating that </w:t>
      </w:r>
      <w:r w:rsidRPr="00DD4652">
        <w:rPr>
          <w:rFonts w:eastAsia="Times New Roman"/>
          <w:i/>
          <w:iCs/>
          <w:sz w:val="22"/>
        </w:rPr>
        <w:t>H</w:t>
      </w:r>
      <w:r w:rsidRPr="00DD4652">
        <w:rPr>
          <w:rFonts w:eastAsia="Times New Roman"/>
          <w:i/>
          <w:iCs/>
          <w:sz w:val="22"/>
          <w:vertAlign w:val="subscript"/>
        </w:rPr>
        <w:t>2</w:t>
      </w:r>
      <w:r w:rsidRPr="00DD4652">
        <w:rPr>
          <w:rFonts w:eastAsia="Times New Roman"/>
          <w:sz w:val="22"/>
        </w:rPr>
        <w:t xml:space="preserve"> is not supported. The green credit × bank size interaction is negative and significant under conventional estimation (p=0.007) but becomes marginal under robust estimation (p=0.068), providing suggestive support for </w:t>
      </w:r>
      <w:r w:rsidRPr="00DD4652">
        <w:rPr>
          <w:rFonts w:eastAsia="Times New Roman"/>
          <w:i/>
          <w:iCs/>
          <w:sz w:val="22"/>
        </w:rPr>
        <w:t>H</w:t>
      </w:r>
      <w:r w:rsidRPr="00DD4652">
        <w:rPr>
          <w:rFonts w:eastAsia="Times New Roman"/>
          <w:i/>
          <w:iCs/>
          <w:sz w:val="22"/>
          <w:vertAlign w:val="subscript"/>
        </w:rPr>
        <w:t>3</w:t>
      </w:r>
      <w:r w:rsidRPr="00DD4652">
        <w:rPr>
          <w:rFonts w:eastAsia="Times New Roman"/>
          <w:sz w:val="22"/>
        </w:rPr>
        <w:t xml:space="preserve"> that the profitability benefits of green credit decrease as bank size increases. Finally, the NPL × bank size interaction is not significant (p</w:t>
      </w:r>
      <w:r w:rsidR="00557FEA" w:rsidRPr="00DD4652">
        <w:rPr>
          <w:rFonts w:eastAsia="Times New Roman"/>
          <w:sz w:val="22"/>
        </w:rPr>
        <w:t>=</w:t>
      </w:r>
      <w:r w:rsidRPr="00DD4652">
        <w:rPr>
          <w:rFonts w:eastAsia="Times New Roman"/>
          <w:sz w:val="22"/>
        </w:rPr>
        <w:t xml:space="preserve">0.076 under conventional estimation and p=0.128 under robust estimation), indicating that </w:t>
      </w:r>
      <w:r w:rsidRPr="00DD4652">
        <w:rPr>
          <w:rFonts w:eastAsia="Times New Roman"/>
          <w:i/>
          <w:iCs/>
          <w:sz w:val="22"/>
        </w:rPr>
        <w:t>H</w:t>
      </w:r>
      <w:r w:rsidRPr="00DD4652">
        <w:rPr>
          <w:rFonts w:eastAsia="Times New Roman"/>
          <w:i/>
          <w:iCs/>
          <w:sz w:val="22"/>
          <w:vertAlign w:val="subscript"/>
        </w:rPr>
        <w:t>4</w:t>
      </w:r>
      <w:r w:rsidRPr="00DD4652">
        <w:rPr>
          <w:rFonts w:eastAsia="Times New Roman"/>
          <w:sz w:val="22"/>
        </w:rPr>
        <w:t xml:space="preserve"> is not supported.</w:t>
      </w:r>
    </w:p>
    <w:p w14:paraId="4C3A9B49" w14:textId="77777777" w:rsidR="00896B3D" w:rsidRPr="00DD4652" w:rsidRDefault="00896B3D" w:rsidP="00896B3D">
      <w:pPr>
        <w:pStyle w:val="ListParagraph"/>
        <w:spacing w:line="240" w:lineRule="auto"/>
        <w:ind w:left="426"/>
        <w:contextualSpacing w:val="0"/>
        <w:jc w:val="both"/>
        <w:rPr>
          <w:sz w:val="22"/>
        </w:rPr>
      </w:pPr>
    </w:p>
    <w:p w14:paraId="4BFF33F4" w14:textId="253D36ED" w:rsidR="002A62CD" w:rsidRPr="00DD4652" w:rsidRDefault="002A62CD" w:rsidP="00FA2D89">
      <w:pPr>
        <w:pStyle w:val="ListParagraph"/>
        <w:numPr>
          <w:ilvl w:val="1"/>
          <w:numId w:val="1"/>
        </w:numPr>
        <w:spacing w:line="240" w:lineRule="auto"/>
        <w:ind w:left="540" w:hanging="540"/>
        <w:jc w:val="both"/>
        <w:rPr>
          <w:sz w:val="22"/>
        </w:rPr>
      </w:pPr>
      <w:r w:rsidRPr="00DD4652">
        <w:rPr>
          <w:rFonts w:eastAsia="Times New Roman"/>
          <w:b/>
          <w:bCs/>
          <w:sz w:val="22"/>
        </w:rPr>
        <w:t>Simultaneous Test (F-test)</w:t>
      </w:r>
    </w:p>
    <w:p w14:paraId="18790351" w14:textId="4FD6CA5A" w:rsidR="002A62CD" w:rsidRPr="00DD4652" w:rsidRDefault="002A62CD" w:rsidP="00FA2D89">
      <w:pPr>
        <w:spacing w:line="240" w:lineRule="auto"/>
        <w:ind w:firstLine="540"/>
        <w:jc w:val="both"/>
        <w:rPr>
          <w:rFonts w:eastAsia="Times New Roman"/>
          <w:sz w:val="22"/>
        </w:rPr>
      </w:pPr>
      <w:r w:rsidRPr="00DD4652">
        <w:rPr>
          <w:rFonts w:eastAsia="Times New Roman"/>
          <w:sz w:val="22"/>
        </w:rPr>
        <w:t xml:space="preserve">Based on the F-test results using EViews, </w:t>
      </w:r>
      <w:r w:rsidR="002B5C93" w:rsidRPr="00DD4652">
        <w:rPr>
          <w:rFonts w:eastAsia="Times New Roman"/>
          <w:sz w:val="22"/>
        </w:rPr>
        <w:t>the F-statistic value is 7,01</w:t>
      </w:r>
      <w:r w:rsidR="00FA2D89" w:rsidRPr="00DD4652">
        <w:rPr>
          <w:rFonts w:eastAsia="Times New Roman"/>
          <w:sz w:val="22"/>
        </w:rPr>
        <w:t xml:space="preserve">6 </w:t>
      </w:r>
      <w:r w:rsidR="002B5C93" w:rsidRPr="00DD4652">
        <w:rPr>
          <w:rFonts w:eastAsia="Times New Roman"/>
          <w:sz w:val="22"/>
        </w:rPr>
        <w:t>with a Prob(F-statistic) value of 0,000</w:t>
      </w:r>
      <w:r w:rsidRPr="00DD4652">
        <w:rPr>
          <w:rFonts w:eastAsia="Times New Roman"/>
          <w:sz w:val="22"/>
        </w:rPr>
        <w:t>, which is smaller than 0</w:t>
      </w:r>
      <w:r w:rsidR="002B5C93" w:rsidRPr="00DD4652">
        <w:rPr>
          <w:rFonts w:eastAsia="Times New Roman"/>
          <w:sz w:val="22"/>
        </w:rPr>
        <w:t>,</w:t>
      </w:r>
      <w:r w:rsidRPr="00DD4652">
        <w:rPr>
          <w:rFonts w:eastAsia="Times New Roman"/>
          <w:sz w:val="22"/>
        </w:rPr>
        <w:t xml:space="preserve">05. This indicates that the variables of green credit, NPL, and the moderating variable of </w:t>
      </w:r>
      <w:r w:rsidR="00D86769" w:rsidRPr="00DD4652">
        <w:rPr>
          <w:rFonts w:eastAsia="Times New Roman"/>
          <w:sz w:val="22"/>
        </w:rPr>
        <w:t>bank size</w:t>
      </w:r>
      <w:r w:rsidRPr="00DD4652">
        <w:rPr>
          <w:rFonts w:eastAsia="Times New Roman"/>
          <w:sz w:val="22"/>
        </w:rPr>
        <w:t xml:space="preserve"> simultaneously have a significant effect on Return on Assets (ROA). It can therefore be concluded that all the independent variables used in the research model jointly explain the variation in ROA, so the regression model is deemed fit and possesses a strong capability in explaining the relationships among the variables in this study.</w:t>
      </w:r>
    </w:p>
    <w:p w14:paraId="411BEE57" w14:textId="77777777" w:rsidR="00896B3D" w:rsidRPr="00DD4652" w:rsidRDefault="00896B3D" w:rsidP="00917C19">
      <w:pPr>
        <w:spacing w:line="240" w:lineRule="auto"/>
        <w:ind w:firstLine="720"/>
        <w:jc w:val="both"/>
        <w:rPr>
          <w:rFonts w:eastAsia="Times New Roman"/>
          <w:sz w:val="22"/>
        </w:rPr>
      </w:pPr>
    </w:p>
    <w:p w14:paraId="7580EE93" w14:textId="68A1B964" w:rsidR="002A62CD" w:rsidRPr="00DD4652" w:rsidRDefault="002A62CD" w:rsidP="00FA2D89">
      <w:pPr>
        <w:pStyle w:val="ListParagraph"/>
        <w:numPr>
          <w:ilvl w:val="1"/>
          <w:numId w:val="1"/>
        </w:numPr>
        <w:spacing w:line="240" w:lineRule="auto"/>
        <w:ind w:left="540" w:hanging="540"/>
        <w:rPr>
          <w:sz w:val="22"/>
        </w:rPr>
      </w:pPr>
      <w:r w:rsidRPr="00DD4652">
        <w:rPr>
          <w:rFonts w:eastAsia="Times New Roman"/>
          <w:b/>
          <w:bCs/>
          <w:sz w:val="22"/>
        </w:rPr>
        <w:t>Coefficient of Determination Test</w:t>
      </w:r>
    </w:p>
    <w:p w14:paraId="6E4D676C" w14:textId="3D3B032E" w:rsidR="002A62CD" w:rsidRPr="00DD4652" w:rsidRDefault="001C3F76" w:rsidP="00FA2D89">
      <w:pPr>
        <w:spacing w:line="240" w:lineRule="auto"/>
        <w:ind w:firstLine="540"/>
        <w:jc w:val="both"/>
        <w:rPr>
          <w:rFonts w:eastAsia="Times New Roman"/>
          <w:sz w:val="22"/>
        </w:rPr>
      </w:pPr>
      <w:r w:rsidRPr="00DD4652">
        <w:rPr>
          <w:rFonts w:eastAsia="Times New Roman"/>
          <w:sz w:val="22"/>
        </w:rPr>
        <w:t>The model yields an R-squared of 0.7279 and an adjusted R-squared of 0.6242. Because a fixed-effects specification is employed, this figure largely reflects time-invariant heterogeneity across banks captured by the entity fixed effects, in addition to the explanatory variables. The adjusted R-squared of 0.6242 indicates that, after accounting for the number of parameters and the bank-specific effects, the model explains a substantial share of the variation in ROA</w:t>
      </w:r>
      <w:r w:rsidR="002A62CD" w:rsidRPr="00DD4652">
        <w:rPr>
          <w:rFonts w:eastAsia="Times New Roman"/>
          <w:sz w:val="22"/>
        </w:rPr>
        <w:t>.</w:t>
      </w:r>
    </w:p>
    <w:p w14:paraId="1A963F31" w14:textId="77777777" w:rsidR="00896B3D" w:rsidRDefault="00896B3D" w:rsidP="00917C19">
      <w:pPr>
        <w:spacing w:line="240" w:lineRule="auto"/>
        <w:ind w:firstLine="720"/>
        <w:jc w:val="both"/>
        <w:rPr>
          <w:rFonts w:eastAsia="Times New Roman"/>
          <w:sz w:val="22"/>
        </w:rPr>
      </w:pPr>
    </w:p>
    <w:p w14:paraId="2BDB0706" w14:textId="77777777" w:rsidR="00B3266D" w:rsidRDefault="00B3266D" w:rsidP="00917C19">
      <w:pPr>
        <w:spacing w:line="240" w:lineRule="auto"/>
        <w:ind w:firstLine="720"/>
        <w:jc w:val="both"/>
        <w:rPr>
          <w:rFonts w:eastAsia="Times New Roman"/>
          <w:sz w:val="22"/>
        </w:rPr>
      </w:pPr>
    </w:p>
    <w:p w14:paraId="517CC0DB" w14:textId="77777777" w:rsidR="00B3266D" w:rsidRPr="00DD4652" w:rsidRDefault="00B3266D" w:rsidP="00917C19">
      <w:pPr>
        <w:spacing w:line="240" w:lineRule="auto"/>
        <w:ind w:firstLine="720"/>
        <w:jc w:val="both"/>
        <w:rPr>
          <w:rFonts w:eastAsia="Times New Roman"/>
          <w:sz w:val="22"/>
        </w:rPr>
      </w:pPr>
    </w:p>
    <w:p w14:paraId="30DF603B" w14:textId="17B96EDE" w:rsidR="00746F67" w:rsidRPr="00DD4652" w:rsidRDefault="00746F67" w:rsidP="00FA2D89">
      <w:pPr>
        <w:spacing w:line="240" w:lineRule="auto"/>
        <w:rPr>
          <w:sz w:val="22"/>
        </w:rPr>
      </w:pPr>
      <w:r w:rsidRPr="00DD4652">
        <w:rPr>
          <w:sz w:val="22"/>
        </w:rPr>
        <w:lastRenderedPageBreak/>
        <w:t xml:space="preserve">Table </w:t>
      </w:r>
      <w:r w:rsidR="00B3266D">
        <w:rPr>
          <w:sz w:val="22"/>
        </w:rPr>
        <w:t>5</w:t>
      </w:r>
      <w:r w:rsidRPr="00DD4652">
        <w:rPr>
          <w:sz w:val="22"/>
        </w:rPr>
        <w:t xml:space="preserve">. Simple </w:t>
      </w:r>
      <w:r w:rsidR="00FA2D89" w:rsidRPr="00DD4652">
        <w:rPr>
          <w:sz w:val="22"/>
        </w:rPr>
        <w:t xml:space="preserve">slopes of green credit </w:t>
      </w:r>
      <w:r w:rsidRPr="00DD4652">
        <w:rPr>
          <w:sz w:val="22"/>
        </w:rPr>
        <w:t xml:space="preserve">on ROA by </w:t>
      </w:r>
      <w:r w:rsidR="00FA2D89" w:rsidRPr="00DD4652">
        <w:rPr>
          <w:sz w:val="22"/>
        </w:rPr>
        <w:t>bank size</w:t>
      </w:r>
    </w:p>
    <w:tbl>
      <w:tblPr>
        <w:tblStyle w:val="TableGrid"/>
        <w:tblW w:w="8815" w:type="dxa"/>
        <w:tblLook w:val="04A0" w:firstRow="1" w:lastRow="0" w:firstColumn="1" w:lastColumn="0" w:noHBand="0" w:noVBand="1"/>
      </w:tblPr>
      <w:tblGrid>
        <w:gridCol w:w="2335"/>
        <w:gridCol w:w="1620"/>
        <w:gridCol w:w="1440"/>
        <w:gridCol w:w="1530"/>
        <w:gridCol w:w="1890"/>
      </w:tblGrid>
      <w:tr w:rsidR="00FA2D89" w:rsidRPr="00DD4652" w14:paraId="0ED3611A" w14:textId="77777777" w:rsidTr="00FA2D89">
        <w:tc>
          <w:tcPr>
            <w:tcW w:w="2335" w:type="dxa"/>
            <w:vAlign w:val="center"/>
          </w:tcPr>
          <w:p w14:paraId="7EE8ED0F" w14:textId="3567C525"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Bank Size Level</w:t>
            </w:r>
          </w:p>
        </w:tc>
        <w:tc>
          <w:tcPr>
            <w:tcW w:w="1620" w:type="dxa"/>
            <w:vAlign w:val="center"/>
          </w:tcPr>
          <w:p w14:paraId="48DB5A73" w14:textId="6902F03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Simple Slope</w:t>
            </w:r>
          </w:p>
        </w:tc>
        <w:tc>
          <w:tcPr>
            <w:tcW w:w="1440" w:type="dxa"/>
            <w:vAlign w:val="center"/>
          </w:tcPr>
          <w:p w14:paraId="2229CD50" w14:textId="30C6244E"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Robust SE</w:t>
            </w:r>
          </w:p>
        </w:tc>
        <w:tc>
          <w:tcPr>
            <w:tcW w:w="1530" w:type="dxa"/>
            <w:vAlign w:val="center"/>
          </w:tcPr>
          <w:p w14:paraId="38B6403E" w14:textId="3C6B9243"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t-statistic</w:t>
            </w:r>
          </w:p>
        </w:tc>
        <w:tc>
          <w:tcPr>
            <w:tcW w:w="1890" w:type="dxa"/>
            <w:vAlign w:val="center"/>
          </w:tcPr>
          <w:p w14:paraId="42CB5D9E" w14:textId="05D6EA9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p-value (Robust)</w:t>
            </w:r>
          </w:p>
        </w:tc>
      </w:tr>
      <w:tr w:rsidR="00FA2D89" w:rsidRPr="00DD4652" w14:paraId="36DBBAD9" w14:textId="77777777" w:rsidTr="00FA2D89">
        <w:tc>
          <w:tcPr>
            <w:tcW w:w="2335" w:type="dxa"/>
            <w:vAlign w:val="center"/>
          </w:tcPr>
          <w:p w14:paraId="5E40C8BB" w14:textId="20F23298" w:rsidR="00FA2D89" w:rsidRPr="00DD4652" w:rsidRDefault="00FA2D89" w:rsidP="00FA2D89">
            <w:pPr>
              <w:spacing w:line="240" w:lineRule="auto"/>
              <w:rPr>
                <w:rFonts w:ascii="Times New Roman" w:hAnsi="Times New Roman" w:cs="Times New Roman"/>
                <w:sz w:val="22"/>
              </w:rPr>
            </w:pPr>
            <w:r w:rsidRPr="00DD4652">
              <w:rPr>
                <w:rFonts w:ascii="Times New Roman" w:hAnsi="Times New Roman" w:cs="Times New Roman"/>
                <w:sz w:val="22"/>
              </w:rPr>
              <w:t>Small (Mean − 1 SD)</w:t>
            </w:r>
          </w:p>
        </w:tc>
        <w:tc>
          <w:tcPr>
            <w:tcW w:w="1620" w:type="dxa"/>
            <w:vAlign w:val="center"/>
          </w:tcPr>
          <w:p w14:paraId="7661A72A" w14:textId="068BAA3E"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0.165</w:t>
            </w:r>
          </w:p>
        </w:tc>
        <w:tc>
          <w:tcPr>
            <w:tcW w:w="1440" w:type="dxa"/>
            <w:vAlign w:val="center"/>
          </w:tcPr>
          <w:p w14:paraId="1B56F26B" w14:textId="370EC8C4"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0.083</w:t>
            </w:r>
          </w:p>
        </w:tc>
        <w:tc>
          <w:tcPr>
            <w:tcW w:w="1530" w:type="dxa"/>
            <w:vAlign w:val="center"/>
          </w:tcPr>
          <w:p w14:paraId="719EA598" w14:textId="4D38E28A"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1.98</w:t>
            </w:r>
          </w:p>
        </w:tc>
        <w:tc>
          <w:tcPr>
            <w:tcW w:w="1890" w:type="dxa"/>
            <w:vAlign w:val="center"/>
          </w:tcPr>
          <w:p w14:paraId="6E43B74B" w14:textId="1A57B21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0.048</w:t>
            </w:r>
          </w:p>
        </w:tc>
      </w:tr>
      <w:tr w:rsidR="00FA2D89" w:rsidRPr="00DD4652" w14:paraId="2FE2C354" w14:textId="77777777" w:rsidTr="00FA2D89">
        <w:tc>
          <w:tcPr>
            <w:tcW w:w="2335" w:type="dxa"/>
            <w:vAlign w:val="center"/>
          </w:tcPr>
          <w:p w14:paraId="269BE163" w14:textId="3157A353" w:rsidR="00FA2D89" w:rsidRPr="00DD4652" w:rsidRDefault="00FA2D89" w:rsidP="00FA2D89">
            <w:pPr>
              <w:spacing w:line="240" w:lineRule="auto"/>
              <w:rPr>
                <w:rFonts w:ascii="Times New Roman" w:hAnsi="Times New Roman" w:cs="Times New Roman"/>
                <w:sz w:val="22"/>
              </w:rPr>
            </w:pPr>
            <w:r w:rsidRPr="00DD4652">
              <w:rPr>
                <w:rFonts w:ascii="Times New Roman" w:hAnsi="Times New Roman" w:cs="Times New Roman"/>
                <w:sz w:val="22"/>
              </w:rPr>
              <w:t>Medium (Mean)</w:t>
            </w:r>
          </w:p>
        </w:tc>
        <w:tc>
          <w:tcPr>
            <w:tcW w:w="1620" w:type="dxa"/>
            <w:vAlign w:val="center"/>
          </w:tcPr>
          <w:p w14:paraId="4522628A" w14:textId="0A217CE0"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0.055</w:t>
            </w:r>
          </w:p>
        </w:tc>
        <w:tc>
          <w:tcPr>
            <w:tcW w:w="1440" w:type="dxa"/>
            <w:vAlign w:val="center"/>
          </w:tcPr>
          <w:p w14:paraId="532B1E39" w14:textId="41C0490F"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0.029</w:t>
            </w:r>
          </w:p>
        </w:tc>
        <w:tc>
          <w:tcPr>
            <w:tcW w:w="1530" w:type="dxa"/>
            <w:vAlign w:val="center"/>
          </w:tcPr>
          <w:p w14:paraId="38336599" w14:textId="08BF9A52"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1.90</w:t>
            </w:r>
          </w:p>
        </w:tc>
        <w:tc>
          <w:tcPr>
            <w:tcW w:w="1890" w:type="dxa"/>
            <w:vAlign w:val="center"/>
          </w:tcPr>
          <w:p w14:paraId="26CD5FD9" w14:textId="398FF569"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0.058</w:t>
            </w:r>
          </w:p>
        </w:tc>
      </w:tr>
      <w:tr w:rsidR="00FA2D89" w:rsidRPr="00DD4652" w14:paraId="46DED37D" w14:textId="77777777" w:rsidTr="00FA2D89">
        <w:tc>
          <w:tcPr>
            <w:tcW w:w="2335" w:type="dxa"/>
            <w:vAlign w:val="center"/>
          </w:tcPr>
          <w:p w14:paraId="296C2989" w14:textId="62C68AC5" w:rsidR="00FA2D89" w:rsidRPr="00DD4652" w:rsidRDefault="00FA2D89" w:rsidP="00FA2D89">
            <w:pPr>
              <w:spacing w:line="240" w:lineRule="auto"/>
              <w:rPr>
                <w:rFonts w:ascii="Times New Roman" w:hAnsi="Times New Roman" w:cs="Times New Roman"/>
                <w:sz w:val="22"/>
              </w:rPr>
            </w:pPr>
            <w:r w:rsidRPr="00DD4652">
              <w:rPr>
                <w:rFonts w:ascii="Times New Roman" w:hAnsi="Times New Roman" w:cs="Times New Roman"/>
                <w:sz w:val="22"/>
              </w:rPr>
              <w:t>Large (Mean + 1 SD)</w:t>
            </w:r>
          </w:p>
        </w:tc>
        <w:tc>
          <w:tcPr>
            <w:tcW w:w="1620" w:type="dxa"/>
            <w:vAlign w:val="center"/>
          </w:tcPr>
          <w:p w14:paraId="35823334" w14:textId="75C6884C"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−0.054</w:t>
            </w:r>
          </w:p>
        </w:tc>
        <w:tc>
          <w:tcPr>
            <w:tcW w:w="1440" w:type="dxa"/>
            <w:vAlign w:val="center"/>
          </w:tcPr>
          <w:p w14:paraId="5EF321D6" w14:textId="5C67B88E"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0.043</w:t>
            </w:r>
          </w:p>
        </w:tc>
        <w:tc>
          <w:tcPr>
            <w:tcW w:w="1530" w:type="dxa"/>
            <w:vAlign w:val="center"/>
          </w:tcPr>
          <w:p w14:paraId="306607AD" w14:textId="121FFDA0"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−1.27</w:t>
            </w:r>
          </w:p>
        </w:tc>
        <w:tc>
          <w:tcPr>
            <w:tcW w:w="1890" w:type="dxa"/>
            <w:vAlign w:val="center"/>
          </w:tcPr>
          <w:p w14:paraId="55415821" w14:textId="7051950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0.203</w:t>
            </w:r>
          </w:p>
        </w:tc>
      </w:tr>
    </w:tbl>
    <w:p w14:paraId="3BBD85F6" w14:textId="77777777" w:rsidR="00896B3D" w:rsidRPr="00DD4652" w:rsidRDefault="00896B3D" w:rsidP="00FA2D89">
      <w:pPr>
        <w:spacing w:line="240" w:lineRule="auto"/>
        <w:jc w:val="both"/>
        <w:rPr>
          <w:sz w:val="22"/>
        </w:rPr>
      </w:pPr>
    </w:p>
    <w:p w14:paraId="799B3F71" w14:textId="7985C7FF" w:rsidR="00746F67" w:rsidRPr="00DD4652" w:rsidRDefault="00FA2D89" w:rsidP="00FA2D89">
      <w:pPr>
        <w:spacing w:line="240" w:lineRule="auto"/>
        <w:ind w:firstLine="540"/>
        <w:jc w:val="both"/>
        <w:rPr>
          <w:sz w:val="22"/>
        </w:rPr>
      </w:pPr>
      <w:r w:rsidRPr="00DD4652">
        <w:rPr>
          <w:sz w:val="22"/>
        </w:rPr>
        <w:t xml:space="preserve">Table </w:t>
      </w:r>
      <w:r w:rsidR="00B3266D">
        <w:rPr>
          <w:sz w:val="22"/>
        </w:rPr>
        <w:t>5</w:t>
      </w:r>
      <w:r w:rsidRPr="00DD4652">
        <w:rPr>
          <w:sz w:val="22"/>
        </w:rPr>
        <w:t xml:space="preserve"> shows b</w:t>
      </w:r>
      <w:r w:rsidR="00746F67" w:rsidRPr="00DD4652">
        <w:rPr>
          <w:sz w:val="22"/>
        </w:rPr>
        <w:t>ecause the green credit × bank size interaction is significant under conventional standard errors and marginal under robust standard errors, a simple slope analysis was conducted to interpret the moderation, evaluating the conditional effect of green credit on ROA at three levels of bank size. The results reveal a clear monotonic pattern. For small banks, green credit has a significant positive effect on ROA (slope=0.165, robust p=0.048)</w:t>
      </w:r>
      <w:r w:rsidRPr="00DD4652">
        <w:rPr>
          <w:sz w:val="22"/>
        </w:rPr>
        <w:t>,</w:t>
      </w:r>
      <w:r w:rsidR="00746F67" w:rsidRPr="00DD4652">
        <w:rPr>
          <w:sz w:val="22"/>
        </w:rPr>
        <w:t xml:space="preserve"> a one-unit increase in the green credit ratio is associated with a 0.165-point increase in ROA. For medium-sized banks the effect is positive but only marginal (slop</w:t>
      </w:r>
      <w:r w:rsidRPr="00DD4652">
        <w:rPr>
          <w:sz w:val="22"/>
        </w:rPr>
        <w:t>e</w:t>
      </w:r>
      <w:r w:rsidR="00746F67" w:rsidRPr="00DD4652">
        <w:rPr>
          <w:sz w:val="22"/>
        </w:rPr>
        <w:t xml:space="preserve">=0.055, p=0.058), and for large banks it is statistically indistinguishable from zero and even slightly negative (slope = −0.054, p = 0.203). As illustrated in Figure </w:t>
      </w:r>
      <w:r w:rsidR="00CA1021" w:rsidRPr="00DD4652">
        <w:rPr>
          <w:sz w:val="22"/>
        </w:rPr>
        <w:t>2</w:t>
      </w:r>
      <w:r w:rsidR="00746F67" w:rsidRPr="00DD4652">
        <w:rPr>
          <w:sz w:val="22"/>
        </w:rPr>
        <w:t>, the slope of the green credit</w:t>
      </w:r>
      <w:r w:rsidR="00B3266D">
        <w:rPr>
          <w:sz w:val="22"/>
        </w:rPr>
        <w:t>-</w:t>
      </w:r>
      <w:r w:rsidR="00746F67" w:rsidRPr="00DD4652">
        <w:rPr>
          <w:sz w:val="22"/>
        </w:rPr>
        <w:t xml:space="preserve">ROA relationship flattens and eventually reverses as bank size increases. The profitability benefit of green credit is therefore concentrated among smaller </w:t>
      </w:r>
      <w:proofErr w:type="spellStart"/>
      <w:r w:rsidR="00746F67" w:rsidRPr="00DD4652">
        <w:rPr>
          <w:sz w:val="22"/>
        </w:rPr>
        <w:t>banksm</w:t>
      </w:r>
      <w:proofErr w:type="spellEnd"/>
      <w:r w:rsidR="00746F67" w:rsidRPr="00DD4652">
        <w:rPr>
          <w:sz w:val="22"/>
        </w:rPr>
        <w:t xml:space="preserve"> consistent with the view that green lending is a more material strategic differentiator for institutions operating from a lower base, whereas larger, already-diversified banks capture limited incremental profitability from additional green credit.</w:t>
      </w:r>
    </w:p>
    <w:p w14:paraId="19A0386A" w14:textId="77777777" w:rsidR="00FA2D89" w:rsidRPr="00DD4652" w:rsidRDefault="00FA2D89" w:rsidP="00FA2D89">
      <w:pPr>
        <w:spacing w:line="240" w:lineRule="auto"/>
        <w:ind w:firstLine="540"/>
        <w:jc w:val="both"/>
        <w:rPr>
          <w:sz w:val="22"/>
        </w:rPr>
      </w:pPr>
    </w:p>
    <w:p w14:paraId="2154102C" w14:textId="42CE55C7" w:rsidR="00746F67" w:rsidRPr="00DD4652" w:rsidRDefault="00746F67" w:rsidP="00FA2D89">
      <w:pPr>
        <w:spacing w:line="240" w:lineRule="auto"/>
        <w:jc w:val="center"/>
        <w:rPr>
          <w:sz w:val="22"/>
        </w:rPr>
      </w:pPr>
      <w:r w:rsidRPr="00DD4652">
        <w:rPr>
          <w:noProof/>
          <w:sz w:val="22"/>
        </w:rPr>
        <w:drawing>
          <wp:inline distT="0" distB="0" distL="0" distR="0" wp14:anchorId="327E83A7" wp14:editId="109E38B5">
            <wp:extent cx="2932842" cy="1866900"/>
            <wp:effectExtent l="0" t="0" r="1270" b="0"/>
            <wp:docPr id="40277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3317" cy="1867202"/>
                    </a:xfrm>
                    <a:prstGeom prst="rect">
                      <a:avLst/>
                    </a:prstGeom>
                    <a:noFill/>
                    <a:ln>
                      <a:noFill/>
                    </a:ln>
                  </pic:spPr>
                </pic:pic>
              </a:graphicData>
            </a:graphic>
          </wp:inline>
        </w:drawing>
      </w:r>
    </w:p>
    <w:p w14:paraId="15C67EE4" w14:textId="24F77B7D" w:rsidR="00746F67" w:rsidRPr="00DD4652" w:rsidRDefault="00746F67" w:rsidP="00917C19">
      <w:pPr>
        <w:spacing w:line="240" w:lineRule="auto"/>
        <w:ind w:firstLine="720"/>
        <w:jc w:val="center"/>
        <w:rPr>
          <w:sz w:val="22"/>
        </w:rPr>
      </w:pPr>
      <w:r w:rsidRPr="00DD4652">
        <w:rPr>
          <w:sz w:val="22"/>
        </w:rPr>
        <w:t xml:space="preserve">Figure </w:t>
      </w:r>
      <w:r w:rsidR="006E6027" w:rsidRPr="00DD4652">
        <w:rPr>
          <w:sz w:val="22"/>
        </w:rPr>
        <w:t>2</w:t>
      </w:r>
      <w:r w:rsidRPr="00DD4652">
        <w:rPr>
          <w:sz w:val="22"/>
        </w:rPr>
        <w:t>. Moderating effect of bank size on the green credit</w:t>
      </w:r>
      <w:r w:rsidR="00B736E2" w:rsidRPr="00DD4652">
        <w:rPr>
          <w:sz w:val="22"/>
        </w:rPr>
        <w:t>-</w:t>
      </w:r>
      <w:r w:rsidRPr="00DD4652">
        <w:rPr>
          <w:sz w:val="22"/>
        </w:rPr>
        <w:t>ROA relationship.</w:t>
      </w:r>
    </w:p>
    <w:p w14:paraId="0A6F05E4" w14:textId="523FBCE5" w:rsidR="006E6027" w:rsidRPr="00DD4652" w:rsidRDefault="006E6027" w:rsidP="00917C19">
      <w:pPr>
        <w:spacing w:line="240" w:lineRule="auto"/>
        <w:ind w:firstLine="720"/>
        <w:jc w:val="center"/>
        <w:rPr>
          <w:sz w:val="22"/>
        </w:rPr>
      </w:pPr>
    </w:p>
    <w:p w14:paraId="5B79C7A9" w14:textId="48933E93" w:rsidR="006E6027" w:rsidRPr="00DD4652" w:rsidRDefault="006E6027" w:rsidP="00FA2D89">
      <w:pPr>
        <w:spacing w:line="240" w:lineRule="auto"/>
        <w:jc w:val="both"/>
        <w:rPr>
          <w:sz w:val="22"/>
        </w:rPr>
      </w:pPr>
      <w:r w:rsidRPr="00DD4652">
        <w:rPr>
          <w:sz w:val="22"/>
        </w:rPr>
        <w:t xml:space="preserve">Table </w:t>
      </w:r>
      <w:r w:rsidR="00B3266D">
        <w:rPr>
          <w:sz w:val="22"/>
        </w:rPr>
        <w:t>6</w:t>
      </w:r>
      <w:r w:rsidRPr="00DD4652">
        <w:rPr>
          <w:sz w:val="22"/>
        </w:rPr>
        <w:t>. Robustness Checks</w:t>
      </w:r>
    </w:p>
    <w:tbl>
      <w:tblPr>
        <w:tblStyle w:val="TableGrid"/>
        <w:tblW w:w="0" w:type="auto"/>
        <w:tblLook w:val="04A0" w:firstRow="1" w:lastRow="0" w:firstColumn="1" w:lastColumn="0" w:noHBand="0" w:noVBand="1"/>
      </w:tblPr>
      <w:tblGrid>
        <w:gridCol w:w="2245"/>
        <w:gridCol w:w="1980"/>
        <w:gridCol w:w="2430"/>
        <w:gridCol w:w="2123"/>
      </w:tblGrid>
      <w:tr w:rsidR="00FA2D89" w:rsidRPr="00DD4652" w14:paraId="2939B99F" w14:textId="77777777" w:rsidTr="00C627FE">
        <w:tc>
          <w:tcPr>
            <w:tcW w:w="2245" w:type="dxa"/>
            <w:vAlign w:val="center"/>
          </w:tcPr>
          <w:p w14:paraId="6E0114F6" w14:textId="48BAA09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Variables</w:t>
            </w:r>
          </w:p>
        </w:tc>
        <w:tc>
          <w:tcPr>
            <w:tcW w:w="1980" w:type="dxa"/>
            <w:vAlign w:val="center"/>
          </w:tcPr>
          <w:p w14:paraId="3A8E088B" w14:textId="5B37BFB2"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Model 1: Base Model</w:t>
            </w:r>
          </w:p>
        </w:tc>
        <w:tc>
          <w:tcPr>
            <w:tcW w:w="2430" w:type="dxa"/>
            <w:vAlign w:val="center"/>
          </w:tcPr>
          <w:p w14:paraId="75EA9AFA" w14:textId="04C1E6A9"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Model 2: Full MRA Model</w:t>
            </w:r>
          </w:p>
        </w:tc>
        <w:tc>
          <w:tcPr>
            <w:tcW w:w="2123" w:type="dxa"/>
            <w:vAlign w:val="center"/>
          </w:tcPr>
          <w:p w14:paraId="44486AE5" w14:textId="1DBA9074"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b/>
                <w:bCs/>
                <w:sz w:val="22"/>
              </w:rPr>
              <w:t>Model 3: Excluding BTPS</w:t>
            </w:r>
          </w:p>
        </w:tc>
      </w:tr>
      <w:tr w:rsidR="00FA2D89" w:rsidRPr="00DD4652" w14:paraId="095EEDB2" w14:textId="77777777" w:rsidTr="00C627FE">
        <w:tc>
          <w:tcPr>
            <w:tcW w:w="2245" w:type="dxa"/>
            <w:vAlign w:val="center"/>
          </w:tcPr>
          <w:p w14:paraId="2692C7DA" w14:textId="19446851"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GCR_C</w:t>
            </w:r>
          </w:p>
        </w:tc>
        <w:tc>
          <w:tcPr>
            <w:tcW w:w="1980" w:type="dxa"/>
            <w:vAlign w:val="center"/>
          </w:tcPr>
          <w:p w14:paraId="6809CDC9" w14:textId="7062AB69"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0.081 (0.072)</w:t>
            </w:r>
          </w:p>
        </w:tc>
        <w:tc>
          <w:tcPr>
            <w:tcW w:w="2430" w:type="dxa"/>
            <w:vAlign w:val="center"/>
          </w:tcPr>
          <w:p w14:paraId="5B287ED2" w14:textId="1456DFFF"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0.055 (0.060)</w:t>
            </w:r>
          </w:p>
        </w:tc>
        <w:tc>
          <w:tcPr>
            <w:tcW w:w="2123" w:type="dxa"/>
            <w:vAlign w:val="center"/>
          </w:tcPr>
          <w:p w14:paraId="3B962039" w14:textId="63DBEF0F"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0.056 (0.055)</w:t>
            </w:r>
          </w:p>
        </w:tc>
      </w:tr>
      <w:tr w:rsidR="00FA2D89" w:rsidRPr="00DD4652" w14:paraId="32FC4427" w14:textId="77777777" w:rsidTr="00C627FE">
        <w:tc>
          <w:tcPr>
            <w:tcW w:w="2245" w:type="dxa"/>
            <w:vAlign w:val="center"/>
          </w:tcPr>
          <w:p w14:paraId="19D187FA" w14:textId="076EFFD9"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NPL_C</w:t>
            </w:r>
          </w:p>
        </w:tc>
        <w:tc>
          <w:tcPr>
            <w:tcW w:w="1980" w:type="dxa"/>
            <w:vAlign w:val="center"/>
          </w:tcPr>
          <w:p w14:paraId="165A5225" w14:textId="4859E2CD"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0.148 (0.504)</w:t>
            </w:r>
          </w:p>
        </w:tc>
        <w:tc>
          <w:tcPr>
            <w:tcW w:w="2430" w:type="dxa"/>
            <w:vAlign w:val="center"/>
          </w:tcPr>
          <w:p w14:paraId="220E247E" w14:textId="3B5EAA70"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0.022 (0.900)</w:t>
            </w:r>
          </w:p>
        </w:tc>
        <w:tc>
          <w:tcPr>
            <w:tcW w:w="2123" w:type="dxa"/>
            <w:vAlign w:val="center"/>
          </w:tcPr>
          <w:p w14:paraId="139AC174" w14:textId="39BD6DF8"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0.046 (0.793)</w:t>
            </w:r>
          </w:p>
        </w:tc>
      </w:tr>
      <w:tr w:rsidR="00FA2D89" w:rsidRPr="00DD4652" w14:paraId="78E00162" w14:textId="77777777" w:rsidTr="00C627FE">
        <w:tc>
          <w:tcPr>
            <w:tcW w:w="2245" w:type="dxa"/>
            <w:vAlign w:val="center"/>
          </w:tcPr>
          <w:p w14:paraId="12CF4AD0" w14:textId="3330906C"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SIZE_C</w:t>
            </w:r>
          </w:p>
        </w:tc>
        <w:tc>
          <w:tcPr>
            <w:tcW w:w="1980" w:type="dxa"/>
            <w:vAlign w:val="center"/>
          </w:tcPr>
          <w:p w14:paraId="3575BB58" w14:textId="69214417"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2.463 (0.120)</w:t>
            </w:r>
          </w:p>
        </w:tc>
        <w:tc>
          <w:tcPr>
            <w:tcW w:w="2430" w:type="dxa"/>
            <w:vAlign w:val="center"/>
          </w:tcPr>
          <w:p w14:paraId="00A0F823" w14:textId="3C3E23C9"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2.428 (0.141)</w:t>
            </w:r>
          </w:p>
        </w:tc>
        <w:tc>
          <w:tcPr>
            <w:tcW w:w="2123" w:type="dxa"/>
            <w:vAlign w:val="center"/>
          </w:tcPr>
          <w:p w14:paraId="3A5C1009" w14:textId="36EFB268"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2.508 (0.131)</w:t>
            </w:r>
          </w:p>
        </w:tc>
      </w:tr>
      <w:tr w:rsidR="00FA2D89" w:rsidRPr="00DD4652" w14:paraId="75001A88" w14:textId="77777777" w:rsidTr="00C627FE">
        <w:tc>
          <w:tcPr>
            <w:tcW w:w="2245" w:type="dxa"/>
            <w:vAlign w:val="center"/>
          </w:tcPr>
          <w:p w14:paraId="44A20948" w14:textId="249C1833"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GCR × SIZE_C</w:t>
            </w:r>
          </w:p>
        </w:tc>
        <w:tc>
          <w:tcPr>
            <w:tcW w:w="1980" w:type="dxa"/>
            <w:vAlign w:val="center"/>
          </w:tcPr>
          <w:p w14:paraId="174AF297" w14:textId="13591CE5"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w:t>
            </w:r>
          </w:p>
        </w:tc>
        <w:tc>
          <w:tcPr>
            <w:tcW w:w="2430" w:type="dxa"/>
            <w:vAlign w:val="center"/>
          </w:tcPr>
          <w:p w14:paraId="31493FC2" w14:textId="5CB631CA"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−0.066 (0.068)</w:t>
            </w:r>
          </w:p>
        </w:tc>
        <w:tc>
          <w:tcPr>
            <w:tcW w:w="2123" w:type="dxa"/>
            <w:vAlign w:val="center"/>
          </w:tcPr>
          <w:p w14:paraId="621FB218" w14:textId="54A0FFDA"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−0.061 (0.093)</w:t>
            </w:r>
          </w:p>
        </w:tc>
      </w:tr>
      <w:tr w:rsidR="00FA2D89" w:rsidRPr="00DD4652" w14:paraId="5C24AB1E" w14:textId="77777777" w:rsidTr="00C627FE">
        <w:tc>
          <w:tcPr>
            <w:tcW w:w="2245" w:type="dxa"/>
            <w:vAlign w:val="center"/>
          </w:tcPr>
          <w:p w14:paraId="2006CF1D" w14:textId="3F84367F"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NPL × SIZE_C</w:t>
            </w:r>
          </w:p>
        </w:tc>
        <w:tc>
          <w:tcPr>
            <w:tcW w:w="1980" w:type="dxa"/>
            <w:vAlign w:val="center"/>
          </w:tcPr>
          <w:p w14:paraId="4044612E" w14:textId="4E2B79FB"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w:t>
            </w:r>
          </w:p>
        </w:tc>
        <w:tc>
          <w:tcPr>
            <w:tcW w:w="2430" w:type="dxa"/>
            <w:vAlign w:val="center"/>
          </w:tcPr>
          <w:p w14:paraId="1A50ECCB" w14:textId="74F375D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−0.200 (0.128)</w:t>
            </w:r>
          </w:p>
        </w:tc>
        <w:tc>
          <w:tcPr>
            <w:tcW w:w="2123" w:type="dxa"/>
            <w:vAlign w:val="center"/>
          </w:tcPr>
          <w:p w14:paraId="2D98DB60" w14:textId="3AFC82E9"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−0.201 (0.123)</w:t>
            </w:r>
          </w:p>
        </w:tc>
      </w:tr>
      <w:tr w:rsidR="00FA2D89" w:rsidRPr="00DD4652" w14:paraId="28185D2D" w14:textId="77777777" w:rsidTr="00C627FE">
        <w:tc>
          <w:tcPr>
            <w:tcW w:w="2245" w:type="dxa"/>
            <w:vAlign w:val="center"/>
          </w:tcPr>
          <w:p w14:paraId="3A99946D" w14:textId="0436FB57" w:rsidR="00FA2D89" w:rsidRPr="00DD4652" w:rsidRDefault="00FA2D89" w:rsidP="00FA2D89">
            <w:pPr>
              <w:spacing w:line="240" w:lineRule="auto"/>
              <w:jc w:val="both"/>
              <w:rPr>
                <w:rFonts w:ascii="Times New Roman" w:hAnsi="Times New Roman" w:cs="Times New Roman"/>
                <w:sz w:val="22"/>
              </w:rPr>
            </w:pPr>
            <w:r w:rsidRPr="00DD4652">
              <w:rPr>
                <w:rFonts w:ascii="Times New Roman" w:hAnsi="Times New Roman" w:cs="Times New Roman"/>
                <w:sz w:val="22"/>
              </w:rPr>
              <w:t>N</w:t>
            </w:r>
          </w:p>
        </w:tc>
        <w:tc>
          <w:tcPr>
            <w:tcW w:w="1980" w:type="dxa"/>
            <w:vAlign w:val="center"/>
          </w:tcPr>
          <w:p w14:paraId="30DFEDAB" w14:textId="4C54F226"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164</w:t>
            </w:r>
          </w:p>
        </w:tc>
        <w:tc>
          <w:tcPr>
            <w:tcW w:w="2430" w:type="dxa"/>
            <w:vAlign w:val="center"/>
          </w:tcPr>
          <w:p w14:paraId="19AD8B52" w14:textId="71DA88D3"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164</w:t>
            </w:r>
          </w:p>
        </w:tc>
        <w:tc>
          <w:tcPr>
            <w:tcW w:w="2123" w:type="dxa"/>
            <w:vAlign w:val="center"/>
          </w:tcPr>
          <w:p w14:paraId="31C6863B" w14:textId="67BFEB81" w:rsidR="00FA2D89" w:rsidRPr="00DD4652" w:rsidRDefault="00FA2D89" w:rsidP="00FA2D89">
            <w:pPr>
              <w:spacing w:line="240" w:lineRule="auto"/>
              <w:jc w:val="center"/>
              <w:rPr>
                <w:rFonts w:ascii="Times New Roman" w:hAnsi="Times New Roman" w:cs="Times New Roman"/>
                <w:sz w:val="22"/>
              </w:rPr>
            </w:pPr>
            <w:r w:rsidRPr="00DD4652">
              <w:rPr>
                <w:rFonts w:ascii="Times New Roman" w:hAnsi="Times New Roman" w:cs="Times New Roman"/>
                <w:sz w:val="22"/>
              </w:rPr>
              <w:t>160</w:t>
            </w:r>
          </w:p>
        </w:tc>
      </w:tr>
    </w:tbl>
    <w:p w14:paraId="1EA96041" w14:textId="77777777" w:rsidR="00FA2D89" w:rsidRPr="00DD4652" w:rsidRDefault="00FC45DE" w:rsidP="00917C19">
      <w:pPr>
        <w:spacing w:line="240" w:lineRule="auto"/>
        <w:jc w:val="both"/>
        <w:rPr>
          <w:rFonts w:eastAsia="Times New Roman"/>
          <w:sz w:val="22"/>
        </w:rPr>
      </w:pPr>
      <w:r w:rsidRPr="00DD4652">
        <w:rPr>
          <w:rFonts w:eastAsia="Times New Roman"/>
          <w:sz w:val="22"/>
        </w:rPr>
        <w:tab/>
      </w:r>
    </w:p>
    <w:p w14:paraId="3F064F63" w14:textId="182D3451" w:rsidR="006E6027" w:rsidRPr="00DD4652" w:rsidRDefault="00FA2D89" w:rsidP="00FA2D89">
      <w:pPr>
        <w:spacing w:line="240" w:lineRule="auto"/>
        <w:ind w:firstLine="540"/>
        <w:jc w:val="both"/>
        <w:rPr>
          <w:rFonts w:eastAsia="Times New Roman"/>
          <w:sz w:val="22"/>
        </w:rPr>
      </w:pPr>
      <w:r w:rsidRPr="00DD4652">
        <w:rPr>
          <w:rFonts w:eastAsia="Times New Roman"/>
          <w:sz w:val="22"/>
        </w:rPr>
        <w:t xml:space="preserve">Table </w:t>
      </w:r>
      <w:r w:rsidR="00B3266D">
        <w:rPr>
          <w:rFonts w:eastAsia="Times New Roman"/>
          <w:sz w:val="22"/>
        </w:rPr>
        <w:t>6</w:t>
      </w:r>
      <w:r w:rsidRPr="00DD4652">
        <w:rPr>
          <w:rFonts w:eastAsia="Times New Roman"/>
          <w:sz w:val="22"/>
        </w:rPr>
        <w:t xml:space="preserve"> shows</w:t>
      </w:r>
      <w:r w:rsidR="006E6027" w:rsidRPr="00DD4652">
        <w:rPr>
          <w:rFonts w:eastAsia="Times New Roman"/>
          <w:sz w:val="22"/>
        </w:rPr>
        <w:t xml:space="preserve"> three specifications were estimated with heteroskedasticity-robust standard errors. Model 1 is a base model without interaction terms</w:t>
      </w:r>
      <w:r w:rsidRPr="00DD4652">
        <w:rPr>
          <w:rFonts w:eastAsia="Times New Roman"/>
          <w:sz w:val="22"/>
        </w:rPr>
        <w:t>,</w:t>
      </w:r>
      <w:r w:rsidR="006E6027" w:rsidRPr="00DD4652">
        <w:rPr>
          <w:rFonts w:eastAsia="Times New Roman"/>
          <w:sz w:val="22"/>
        </w:rPr>
        <w:t xml:space="preserve"> </w:t>
      </w:r>
      <w:r w:rsidRPr="00DD4652">
        <w:rPr>
          <w:rFonts w:eastAsia="Times New Roman"/>
          <w:sz w:val="22"/>
        </w:rPr>
        <w:t>m</w:t>
      </w:r>
      <w:r w:rsidR="006E6027" w:rsidRPr="00DD4652">
        <w:rPr>
          <w:rFonts w:eastAsia="Times New Roman"/>
          <w:sz w:val="22"/>
        </w:rPr>
        <w:t>odel 2 is the full moderated model</w:t>
      </w:r>
      <w:r w:rsidRPr="00DD4652">
        <w:rPr>
          <w:rFonts w:eastAsia="Times New Roman"/>
          <w:sz w:val="22"/>
        </w:rPr>
        <w:t>,</w:t>
      </w:r>
      <w:r w:rsidR="006E6027" w:rsidRPr="00DD4652">
        <w:rPr>
          <w:rFonts w:eastAsia="Times New Roman"/>
          <w:sz w:val="22"/>
        </w:rPr>
        <w:t xml:space="preserve"> and </w:t>
      </w:r>
      <w:r w:rsidRPr="00DD4652">
        <w:rPr>
          <w:rFonts w:eastAsia="Times New Roman"/>
          <w:sz w:val="22"/>
        </w:rPr>
        <w:t>m</w:t>
      </w:r>
      <w:r w:rsidR="006E6027" w:rsidRPr="00DD4652">
        <w:rPr>
          <w:rFonts w:eastAsia="Times New Roman"/>
          <w:sz w:val="22"/>
        </w:rPr>
        <w:t>odel 3 re-estimates the full model excluding Bank BTPN Syariah (BTPS), the outlier that drives the extreme values reported in the descriptive statistics. The results are stable across all specifications. NPL is consistently insignificant, confirming that the resolution of the earlier positive-coefficient anomaly is not specification-dependent. The green credit × bank size interaction remains negative and marginally significant in both Model 2 and Model 3 (p=0.068 and 0.093), indicating that the size-contingent pattern is not an artifact of the outlier observation. The base model further shows that, absent the interaction terms, green credit retains a marginally positive direct association with ROA, consistent with the main results.</w:t>
      </w:r>
    </w:p>
    <w:p w14:paraId="2A859B56" w14:textId="2020F0F8" w:rsidR="002A62CD" w:rsidRPr="00DD4652" w:rsidRDefault="002A62CD" w:rsidP="00C627FE">
      <w:pPr>
        <w:pStyle w:val="ListParagraph"/>
        <w:numPr>
          <w:ilvl w:val="1"/>
          <w:numId w:val="1"/>
        </w:numPr>
        <w:spacing w:line="240" w:lineRule="auto"/>
        <w:ind w:left="540" w:hanging="540"/>
        <w:rPr>
          <w:sz w:val="22"/>
        </w:rPr>
      </w:pPr>
      <w:r w:rsidRPr="00DD4652">
        <w:rPr>
          <w:rFonts w:eastAsia="Times New Roman"/>
          <w:b/>
          <w:bCs/>
          <w:sz w:val="22"/>
        </w:rPr>
        <w:lastRenderedPageBreak/>
        <w:t>Discussion</w:t>
      </w:r>
    </w:p>
    <w:p w14:paraId="3246FCAE" w14:textId="0700B809" w:rsidR="00C627FE" w:rsidRPr="00DD4652" w:rsidRDefault="001C3F76" w:rsidP="00C627FE">
      <w:pPr>
        <w:pStyle w:val="ListParagraph"/>
        <w:numPr>
          <w:ilvl w:val="2"/>
          <w:numId w:val="1"/>
        </w:numPr>
        <w:spacing w:line="240" w:lineRule="auto"/>
        <w:ind w:left="540" w:hanging="540"/>
        <w:jc w:val="both"/>
        <w:rPr>
          <w:rFonts w:eastAsia="Times New Roman"/>
          <w:sz w:val="22"/>
        </w:rPr>
      </w:pPr>
      <w:r w:rsidRPr="00DD4652">
        <w:rPr>
          <w:rFonts w:eastAsia="Times New Roman"/>
          <w:sz w:val="22"/>
        </w:rPr>
        <w:t xml:space="preserve">The </w:t>
      </w:r>
      <w:r w:rsidR="00C627FE" w:rsidRPr="00DD4652">
        <w:rPr>
          <w:rFonts w:eastAsia="Times New Roman"/>
          <w:sz w:val="22"/>
        </w:rPr>
        <w:t>Effect of Green Credit on Profitability</w:t>
      </w:r>
    </w:p>
    <w:p w14:paraId="75488929" w14:textId="4B9B6D6A" w:rsidR="001C3F76" w:rsidRPr="00DD4652" w:rsidRDefault="001C3F76" w:rsidP="00C627FE">
      <w:pPr>
        <w:spacing w:line="240" w:lineRule="auto"/>
        <w:ind w:firstLine="540"/>
        <w:jc w:val="both"/>
        <w:rPr>
          <w:rFonts w:eastAsia="Times New Roman"/>
          <w:sz w:val="22"/>
        </w:rPr>
      </w:pPr>
      <w:r w:rsidRPr="00DD4652">
        <w:rPr>
          <w:rFonts w:eastAsia="Times New Roman"/>
          <w:sz w:val="22"/>
        </w:rPr>
        <w:t xml:space="preserve">The analysis provides only weak support for </w:t>
      </w:r>
      <w:r w:rsidRPr="00DD4652">
        <w:rPr>
          <w:rFonts w:eastAsia="Times New Roman"/>
          <w:i/>
          <w:iCs/>
          <w:sz w:val="22"/>
        </w:rPr>
        <w:t>H</w:t>
      </w:r>
      <w:r w:rsidRPr="00DD4652">
        <w:rPr>
          <w:rFonts w:eastAsia="Times New Roman"/>
          <w:i/>
          <w:iCs/>
          <w:sz w:val="22"/>
          <w:vertAlign w:val="subscript"/>
        </w:rPr>
        <w:t>1</w:t>
      </w:r>
      <w:r w:rsidRPr="00DD4652">
        <w:rPr>
          <w:rFonts w:eastAsia="Times New Roman"/>
          <w:sz w:val="22"/>
        </w:rPr>
        <w:t>. At the mean level of bank size, green credit exhibits a positive but marginally significant association with ROA (p=0.078 conventional</w:t>
      </w:r>
      <w:r w:rsidR="00D231D7" w:rsidRPr="00DD4652">
        <w:rPr>
          <w:rFonts w:eastAsia="Times New Roman"/>
          <w:sz w:val="22"/>
        </w:rPr>
        <w:t>,</w:t>
      </w:r>
      <w:r w:rsidRPr="00DD4652">
        <w:rPr>
          <w:rFonts w:eastAsia="Times New Roman"/>
          <w:sz w:val="22"/>
        </w:rPr>
        <w:t xml:space="preserve"> 0.060 robust), suggesting that sustainable financing contributes modestly to profitability through reputational </w:t>
      </w:r>
      <w:r w:rsidR="00B3266D" w:rsidRPr="00DD4652">
        <w:rPr>
          <w:rFonts w:eastAsia="Times New Roman"/>
          <w:sz w:val="22"/>
        </w:rPr>
        <w:t>signaling</w:t>
      </w:r>
      <w:r w:rsidRPr="00DD4652">
        <w:rPr>
          <w:rFonts w:eastAsia="Times New Roman"/>
          <w:sz w:val="22"/>
        </w:rPr>
        <w:t>, improved risk screening, and access to green market segments, though not strongly enough to be robust at conventional thresholds for the average bank. As the moderation analysis shows, this average effect masks substantial heterogeneity across bank sizes. The positive direction is consistent with</w:t>
      </w:r>
      <w:r w:rsidR="003A0861" w:rsidRPr="00DD4652">
        <w:rPr>
          <w:rFonts w:eastAsia="Times New Roman"/>
          <w:sz w:val="22"/>
        </w:rPr>
        <w:t xml:space="preserve"> </w:t>
      </w:r>
      <w:hyperlink w:anchor="_ENREF_24" w:tooltip="Lian, 2022 #10235" w:history="1">
        <w:r w:rsidR="003A0861" w:rsidRPr="00DD4652">
          <w:rPr>
            <w:rStyle w:val="Hyperlink"/>
            <w:rFonts w:eastAsia="Times New Roman"/>
            <w:sz w:val="22"/>
          </w:rPr>
          <w:fldChar w:fldCharType="begin"/>
        </w:r>
        <w:r w:rsidR="003A0861" w:rsidRPr="00DD4652">
          <w:rPr>
            <w:rStyle w:val="Hyperlink"/>
            <w:rFonts w:eastAsia="Times New Roman"/>
            <w:sz w:val="22"/>
          </w:rPr>
          <w:instrText xml:space="preserve"> ADDIN EN.CITE &lt;EndNote&gt;&lt;Cite AuthorYear="1"&gt;&lt;Author&gt;Lian&lt;/Author&gt;&lt;Year&gt;2022&lt;/Year&gt;&lt;RecNum&gt;10235&lt;/RecNum&gt;&lt;DisplayText&gt;Lian et al. (2022)&lt;/DisplayText&gt;&lt;record&gt;&lt;rec-number&gt;10235&lt;/rec-number&gt;&lt;foreign-keys&gt;&lt;key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3A0861" w:rsidRPr="00DD4652">
          <w:rPr>
            <w:rStyle w:val="Hyperlink"/>
            <w:rFonts w:eastAsia="Times New Roman"/>
            <w:sz w:val="22"/>
          </w:rPr>
          <w:fldChar w:fldCharType="separate"/>
        </w:r>
        <w:r w:rsidR="003A0861" w:rsidRPr="00DD4652">
          <w:rPr>
            <w:rStyle w:val="Hyperlink"/>
            <w:rFonts w:eastAsia="Times New Roman"/>
            <w:sz w:val="22"/>
          </w:rPr>
          <w:t>Lian et al. (2022)</w:t>
        </w:r>
        <w:r w:rsidR="003A0861" w:rsidRPr="00DD4652">
          <w:rPr>
            <w:rStyle w:val="Hyperlink"/>
            <w:rFonts w:eastAsia="Times New Roman"/>
            <w:sz w:val="22"/>
          </w:rPr>
          <w:fldChar w:fldCharType="end"/>
        </w:r>
      </w:hyperlink>
      <w:r w:rsidRPr="00DD4652">
        <w:rPr>
          <w:rFonts w:eastAsia="Times New Roman"/>
          <w:sz w:val="22"/>
        </w:rPr>
        <w:t>,</w:t>
      </w:r>
      <w:r w:rsidR="00464915" w:rsidRPr="00DD4652">
        <w:rPr>
          <w:rFonts w:eastAsia="Times New Roman"/>
          <w:sz w:val="22"/>
        </w:rPr>
        <w:t xml:space="preserve"> </w:t>
      </w:r>
      <w:hyperlink w:anchor="_ENREF_26" w:tooltip="Mirza, 2023 #10233" w:history="1">
        <w:r w:rsidR="00464915" w:rsidRPr="00DD4652">
          <w:rPr>
            <w:rStyle w:val="Hyperlink"/>
            <w:rFonts w:eastAsia="Times New Roman"/>
            <w:sz w:val="22"/>
          </w:rPr>
          <w:fldChar w:fldCharType="begin"/>
        </w:r>
        <w:r w:rsidR="00464915" w:rsidRPr="00DD4652">
          <w:rPr>
            <w:rStyle w:val="Hyperlink"/>
            <w:rFonts w:eastAsia="Times New Roman"/>
            <w:sz w:val="22"/>
          </w:rPr>
          <w:instrText xml:space="preserve"> ADDIN EN.CITE &lt;EndNote&gt;&lt;Cite AuthorYear="1"&gt;&lt;Author&gt;Mirza&lt;/Author&gt;&lt;Year&gt;2023&lt;/Year&gt;&lt;RecNum&gt;10233&lt;/RecNum&gt;&lt;DisplayText&gt;Mirza et al. (2023)&lt;/DisplayText&gt;&lt;record&gt;&lt;rec-number&gt;10233&lt;/rec-number&gt;&lt;foreign-keys&gt;&lt;key app="EN" db-id="x5ezdazsa9zseqe5esy5zw9wxe95pawf2e0d" timestamp="1784693152"&gt;10233&lt;/key&gt;&lt;/foreign-keys&gt;&lt;ref-type name="Journal Article"&gt;17&lt;/ref-type&gt;&lt;contributors&gt;&lt;authors&gt;&lt;author&gt;Mirza, Nawazish&lt;/author&gt;&lt;author&gt;Afzal, Ayesha&lt;/author&gt;&lt;author&gt;Umar, Muhammad&lt;/author&gt;&lt;author&gt;Skare, Marinko&lt;/author&gt;&lt;/authors&gt;&lt;/contributors&gt;&lt;titles&gt;&lt;title&gt;The impact of green lending on banking performance: Evidence from SME credit portfolios in the BRIC&lt;/title&gt;&lt;secondary-title&gt;Economic Analysis and Policy&lt;/secondary-title&gt;&lt;/titles&gt;&lt;periodical&gt;&lt;full-title&gt;Economic Analysis and Policy&lt;/full-title&gt;&lt;/periodical&gt;&lt;pages&gt;843-850&lt;/pages&gt;&lt;volume&gt;77&lt;/volume&gt;&lt;dates&gt;&lt;year&gt;2023&lt;/year&gt;&lt;/dates&gt;&lt;isbn&gt;0313-5926&lt;/isbn&gt;&lt;urls&gt;&lt;/urls&gt;&lt;electronic-resource-num&gt;https://doi.org/10.1016/j.eap.2022.12.024&lt;/electronic-resource-num&gt;&lt;/record&gt;&lt;/Cite&gt;&lt;/EndNote&gt;</w:instrText>
        </w:r>
        <w:r w:rsidR="00464915" w:rsidRPr="00DD4652">
          <w:rPr>
            <w:rStyle w:val="Hyperlink"/>
            <w:rFonts w:eastAsia="Times New Roman"/>
            <w:sz w:val="22"/>
          </w:rPr>
          <w:fldChar w:fldCharType="separate"/>
        </w:r>
        <w:r w:rsidR="00464915" w:rsidRPr="00DD4652">
          <w:rPr>
            <w:rStyle w:val="Hyperlink"/>
            <w:rFonts w:eastAsia="Times New Roman"/>
            <w:sz w:val="22"/>
          </w:rPr>
          <w:t>Mirza et al. (2023)</w:t>
        </w:r>
        <w:r w:rsidR="00464915" w:rsidRPr="00DD4652">
          <w:rPr>
            <w:rStyle w:val="Hyperlink"/>
            <w:rFonts w:eastAsia="Times New Roman"/>
            <w:sz w:val="22"/>
          </w:rPr>
          <w:fldChar w:fldCharType="end"/>
        </w:r>
      </w:hyperlink>
      <w:r w:rsidRPr="00DD4652">
        <w:rPr>
          <w:rFonts w:eastAsia="Times New Roman"/>
          <w:sz w:val="22"/>
        </w:rPr>
        <w:t>, and</w:t>
      </w:r>
      <w:r w:rsidR="000343D7" w:rsidRPr="00DD4652">
        <w:rPr>
          <w:rFonts w:eastAsia="Times New Roman"/>
          <w:sz w:val="22"/>
        </w:rPr>
        <w:t xml:space="preserve">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and with</w:t>
      </w:r>
      <w:r w:rsidR="00C22934" w:rsidRPr="00DD4652">
        <w:rPr>
          <w:rFonts w:eastAsia="Times New Roman"/>
          <w:sz w:val="22"/>
        </w:rPr>
        <w:t xml:space="preserve"> </w:t>
      </w:r>
      <w:hyperlink w:anchor="_ENREF_43" w:tooltip="Yin, 2021 #10226" w:history="1">
        <w:r w:rsidR="00C22934" w:rsidRPr="00DD4652">
          <w:rPr>
            <w:rStyle w:val="Hyperlink"/>
            <w:rFonts w:eastAsia="Times New Roman"/>
            <w:sz w:val="22"/>
          </w:rPr>
          <w:fldChar w:fldCharType="begin"/>
        </w:r>
        <w:r w:rsidR="00C22934" w:rsidRPr="00DD4652">
          <w:rPr>
            <w:rStyle w:val="Hyperlink"/>
            <w:rFonts w:eastAsia="Times New Roman"/>
            <w:sz w:val="22"/>
          </w:rPr>
          <w:instrText xml:space="preserve"> ADDIN EN.CITE &lt;EndNote&gt;&lt;Cite AuthorYear="1"&gt;&lt;Author&gt;Yin&lt;/Author&gt;&lt;Year&gt;2021&lt;/Year&gt;&lt;RecNum&gt;10226&lt;/RecNum&gt;&lt;DisplayText&gt;Yin, Zhu, Kirkulak-Uludag, and Zhu (2021)&lt;/DisplayText&gt;&lt;record&gt;&lt;rec-number&gt;10226&lt;/rec-number&gt;&lt;foreign-keys&gt;&lt;key app="EN" db-id="x5ezdazsa9zseqe5esy5zw9wxe95pawf2e0d" timestamp="1784692521"&gt;10226&lt;/key&gt;&lt;/foreign-keys&gt;&lt;ref-type name="Journal Article"&gt;17&lt;/ref-type&gt;&lt;contributors&gt;&lt;authors&gt;&lt;author&gt;Yin, Wei&lt;/author&gt;&lt;author&gt;Zhu, Zheyi&lt;/author&gt;&lt;author&gt;Kirkulak-Uludag, Berna&lt;/author&gt;&lt;author&gt;Zhu, Yaping&lt;/author&gt;&lt;/authors&gt;&lt;/contributors&gt;&lt;titles&gt;&lt;title&gt;The determinants of green credit and its impact on the performance of Chinese banks&lt;/title&gt;&lt;secondary-title&gt;Journal of Cleaner Production&lt;/secondary-title&gt;&lt;/titles&gt;&lt;periodical&gt;&lt;full-title&gt;Journal of Cleaner Production&lt;/full-title&gt;&lt;/periodical&gt;&lt;pages&gt;124991&lt;/pages&gt;&lt;volume&gt;286&lt;/volume&gt;&lt;dates&gt;&lt;year&gt;2021&lt;/year&gt;&lt;/dates&gt;&lt;isbn&gt;0959-6526&lt;/isbn&gt;&lt;urls&gt;&lt;/urls&gt;&lt;electronic-resource-num&gt;https://doi.org/10.1016/j.jclepro.2020.124991&lt;/electronic-resource-num&gt;&lt;/record&gt;&lt;/Cite&gt;&lt;/EndNote&gt;</w:instrText>
        </w:r>
        <w:r w:rsidR="00C22934" w:rsidRPr="00DD4652">
          <w:rPr>
            <w:rStyle w:val="Hyperlink"/>
            <w:rFonts w:eastAsia="Times New Roman"/>
            <w:sz w:val="22"/>
          </w:rPr>
          <w:fldChar w:fldCharType="separate"/>
        </w:r>
        <w:r w:rsidR="00C22934" w:rsidRPr="00DD4652">
          <w:rPr>
            <w:rStyle w:val="Hyperlink"/>
            <w:rFonts w:eastAsia="Times New Roman"/>
            <w:sz w:val="22"/>
          </w:rPr>
          <w:t>Yin, Zhu, Kirkulak-Uludag, and Zhu (2021)</w:t>
        </w:r>
        <w:r w:rsidR="00C22934" w:rsidRPr="00DD4652">
          <w:rPr>
            <w:rStyle w:val="Hyperlink"/>
            <w:rFonts w:eastAsia="Times New Roman"/>
            <w:sz w:val="22"/>
          </w:rPr>
          <w:fldChar w:fldCharType="end"/>
        </w:r>
      </w:hyperlink>
      <w:r w:rsidRPr="00DD4652">
        <w:rPr>
          <w:rFonts w:eastAsia="Times New Roman"/>
          <w:sz w:val="22"/>
        </w:rPr>
        <w:t xml:space="preserve"> and</w:t>
      </w:r>
      <w:r w:rsidR="00CA5D70" w:rsidRPr="00DD4652">
        <w:rPr>
          <w:rFonts w:eastAsia="Times New Roman"/>
          <w:sz w:val="22"/>
        </w:rPr>
        <w:t xml:space="preserve"> </w:t>
      </w:r>
      <w:hyperlink w:anchor="_ENREF_38" w:tooltip="Song, 2025 #10254" w:history="1">
        <w:r w:rsidR="00CA5D70" w:rsidRPr="00DD4652">
          <w:rPr>
            <w:rStyle w:val="Hyperlink"/>
            <w:rFonts w:eastAsia="Times New Roman"/>
            <w:sz w:val="22"/>
          </w:rPr>
          <w:fldChar w:fldCharType="begin"/>
        </w:r>
        <w:r w:rsidR="00CA5D70" w:rsidRPr="00DD4652">
          <w:rPr>
            <w:rStyle w:val="Hyperlink"/>
            <w:rFonts w:eastAsia="Times New Roman"/>
            <w:sz w:val="22"/>
          </w:rPr>
          <w:instrText xml:space="preserve"> ADDIN EN.CITE &lt;EndNote&gt;&lt;Cite AuthorYear="1"&gt;&lt;Author&gt;Song&lt;/Author&gt;&lt;Year&gt;2025&lt;/Year&gt;&lt;RecNum&gt;10254&lt;/RecNum&gt;&lt;DisplayText&gt;Song, Cao, and Shan (2025)&lt;/DisplayText&gt;&lt;record&gt;&lt;rec-number&gt;10254&lt;/rec-number&gt;&lt;foreign-keys&gt;&lt;key app="EN" db-id="x5ezdazsa9zseqe5esy5zw9wxe95pawf2e0d" timestamp="1784700151"&gt;10254&lt;/key&gt;&lt;/foreign-keys&gt;&lt;ref-type name="Journal Article"&gt;17&lt;/ref-type&gt;&lt;contributors&gt;&lt;authors&gt;&lt;author&gt;Song, Jianbo&lt;/author&gt;&lt;author&gt;Cao, Wencheng&lt;/author&gt;&lt;author&gt;Shan, Yuan George&lt;/author&gt;&lt;/authors&gt;&lt;/contributors&gt;&lt;titles&gt;&lt;title&gt;Green credit and bank’s risk-taking: evidence from China&lt;/title&gt;&lt;secondary-title&gt;International Journal of Managerial Finance&lt;/secondary-title&gt;&lt;/titles&gt;&lt;periodical&gt;&lt;full-title&gt;International Journal of Managerial Finance&lt;/full-title&gt;&lt;/periodical&gt;&lt;pages&gt;157-184&lt;/pages&gt;&lt;volume&gt;21&lt;/volume&gt;&lt;number&gt;1&lt;/number&gt;&lt;dates&gt;&lt;year&gt;2025&lt;/year&gt;&lt;/dates&gt;&lt;isbn&gt;1743-9132&lt;/isbn&gt;&lt;urls&gt;&lt;/urls&gt;&lt;electronic-resource-num&gt;https://doi.org/10.1108/IJMF-03-2024-0144&lt;/electronic-resource-num&gt;&lt;/record&gt;&lt;/Cite&gt;&lt;/EndNote&gt;</w:instrText>
        </w:r>
        <w:r w:rsidR="00CA5D70" w:rsidRPr="00DD4652">
          <w:rPr>
            <w:rStyle w:val="Hyperlink"/>
            <w:rFonts w:eastAsia="Times New Roman"/>
            <w:sz w:val="22"/>
          </w:rPr>
          <w:fldChar w:fldCharType="separate"/>
        </w:r>
        <w:r w:rsidR="00CA5D70" w:rsidRPr="00DD4652">
          <w:rPr>
            <w:rStyle w:val="Hyperlink"/>
            <w:rFonts w:eastAsia="Times New Roman"/>
            <w:sz w:val="22"/>
          </w:rPr>
          <w:t>Song, Cao, and Shan (2025)</w:t>
        </w:r>
        <w:r w:rsidR="00CA5D70" w:rsidRPr="00DD4652">
          <w:rPr>
            <w:rStyle w:val="Hyperlink"/>
            <w:rFonts w:eastAsia="Times New Roman"/>
            <w:sz w:val="22"/>
          </w:rPr>
          <w:fldChar w:fldCharType="end"/>
        </w:r>
      </w:hyperlink>
      <w:r w:rsidRPr="00DD4652">
        <w:rPr>
          <w:rFonts w:eastAsia="Times New Roman"/>
          <w:sz w:val="22"/>
        </w:rPr>
        <w:t>, who document that green credit can simultaneously raise profitability and improve risk screening in Chinese banks</w:t>
      </w:r>
      <w:r w:rsidR="006D402D" w:rsidRPr="00DD4652">
        <w:rPr>
          <w:rFonts w:eastAsia="Times New Roman"/>
          <w:sz w:val="22"/>
        </w:rPr>
        <w:t>,</w:t>
      </w:r>
      <w:r w:rsidRPr="00DD4652">
        <w:rPr>
          <w:rFonts w:eastAsia="Times New Roman"/>
          <w:sz w:val="22"/>
        </w:rPr>
        <w:t xml:space="preserve"> the marginal significance observed here also reflects the broader empirical inconsistency in which green-credit effects range from positive to negative depending on institutional context.</w:t>
      </w:r>
    </w:p>
    <w:p w14:paraId="2F69FFE3" w14:textId="77777777" w:rsidR="00D231D7" w:rsidRPr="00DD4652" w:rsidRDefault="00D231D7" w:rsidP="00D231D7">
      <w:pPr>
        <w:spacing w:line="240" w:lineRule="auto"/>
        <w:jc w:val="both"/>
        <w:rPr>
          <w:rFonts w:eastAsia="Times New Roman"/>
          <w:b/>
          <w:bCs/>
          <w:sz w:val="22"/>
        </w:rPr>
      </w:pPr>
    </w:p>
    <w:p w14:paraId="17E71F95" w14:textId="10FABF41" w:rsidR="00D231D7" w:rsidRPr="00DD4652" w:rsidRDefault="001C3F76" w:rsidP="00D231D7">
      <w:pPr>
        <w:pStyle w:val="ListParagraph"/>
        <w:numPr>
          <w:ilvl w:val="2"/>
          <w:numId w:val="1"/>
        </w:numPr>
        <w:spacing w:line="240" w:lineRule="auto"/>
        <w:ind w:left="540" w:hanging="540"/>
        <w:jc w:val="both"/>
        <w:rPr>
          <w:rFonts w:eastAsia="Times New Roman"/>
          <w:sz w:val="22"/>
        </w:rPr>
      </w:pPr>
      <w:r w:rsidRPr="00DD4652">
        <w:rPr>
          <w:rFonts w:eastAsia="Times New Roman"/>
          <w:sz w:val="22"/>
        </w:rPr>
        <w:t xml:space="preserve">The </w:t>
      </w:r>
      <w:r w:rsidR="00D231D7" w:rsidRPr="00DD4652">
        <w:rPr>
          <w:rFonts w:eastAsia="Times New Roman"/>
          <w:sz w:val="22"/>
        </w:rPr>
        <w:t>E</w:t>
      </w:r>
      <w:r w:rsidRPr="00DD4652">
        <w:rPr>
          <w:rFonts w:eastAsia="Times New Roman"/>
          <w:sz w:val="22"/>
        </w:rPr>
        <w:t xml:space="preserve">ffect of NPL on </w:t>
      </w:r>
      <w:r w:rsidR="00D231D7" w:rsidRPr="00DD4652">
        <w:rPr>
          <w:rFonts w:eastAsia="Times New Roman"/>
          <w:sz w:val="22"/>
        </w:rPr>
        <w:t>P</w:t>
      </w:r>
      <w:r w:rsidRPr="00DD4652">
        <w:rPr>
          <w:rFonts w:eastAsia="Times New Roman"/>
          <w:sz w:val="22"/>
        </w:rPr>
        <w:t>rofitability</w:t>
      </w:r>
    </w:p>
    <w:p w14:paraId="7AC2DCD5" w14:textId="76AFC177" w:rsidR="001C3F76" w:rsidRPr="00DD4652" w:rsidRDefault="001C3F76" w:rsidP="00D231D7">
      <w:pPr>
        <w:spacing w:line="240" w:lineRule="auto"/>
        <w:ind w:firstLine="540"/>
        <w:jc w:val="both"/>
        <w:rPr>
          <w:rFonts w:eastAsia="Times New Roman"/>
          <w:sz w:val="22"/>
        </w:rPr>
      </w:pPr>
      <w:r w:rsidRPr="00DD4652">
        <w:rPr>
          <w:rFonts w:eastAsia="Times New Roman"/>
          <w:i/>
          <w:iCs/>
          <w:sz w:val="22"/>
        </w:rPr>
        <w:t>H</w:t>
      </w:r>
      <w:r w:rsidRPr="00DD4652">
        <w:rPr>
          <w:rFonts w:eastAsia="Times New Roman"/>
          <w:i/>
          <w:iCs/>
          <w:sz w:val="22"/>
          <w:vertAlign w:val="subscript"/>
        </w:rPr>
        <w:t>2</w:t>
      </w:r>
      <w:r w:rsidRPr="00DD4652">
        <w:rPr>
          <w:rFonts w:eastAsia="Times New Roman"/>
          <w:sz w:val="22"/>
        </w:rPr>
        <w:t xml:space="preserve"> is not supported</w:t>
      </w:r>
      <w:r w:rsidR="00D231D7" w:rsidRPr="00DD4652">
        <w:rPr>
          <w:rFonts w:eastAsia="Times New Roman"/>
          <w:sz w:val="22"/>
        </w:rPr>
        <w:t>.</w:t>
      </w:r>
      <w:r w:rsidRPr="00DD4652">
        <w:rPr>
          <w:rFonts w:eastAsia="Times New Roman"/>
          <w:sz w:val="22"/>
        </w:rPr>
        <w:t xml:space="preserve"> NPL has no significant effect on ROA (p=0.910). This reflects the stable post-pandemic environment, in which industry NPL remained below the 5% threshold and was cushioned by credit-restructuring relief and strengthened provisioning, decoupling reported credit risk from short</w:t>
      </w:r>
      <w:r w:rsidR="00FC45DE" w:rsidRPr="00DD4652">
        <w:rPr>
          <w:rFonts w:eastAsia="Times New Roman"/>
          <w:sz w:val="22"/>
        </w:rPr>
        <w:t xml:space="preserve"> </w:t>
      </w:r>
      <w:r w:rsidRPr="00DD4652">
        <w:rPr>
          <w:rFonts w:eastAsia="Times New Roman"/>
          <w:sz w:val="22"/>
        </w:rPr>
        <w:t>term earnings. The result is consistent with</w:t>
      </w:r>
      <w:r w:rsidR="003F6DD6" w:rsidRPr="00DD4652">
        <w:rPr>
          <w:rFonts w:eastAsia="Times New Roman"/>
          <w:sz w:val="22"/>
        </w:rPr>
        <w:t xml:space="preserve"> </w:t>
      </w:r>
      <w:hyperlink w:anchor="_ENREF_36" w:tooltip="Setyarini, 2020 #10258" w:history="1">
        <w:r w:rsidR="003F6DD6" w:rsidRPr="00DD4652">
          <w:rPr>
            <w:rStyle w:val="Hyperlink"/>
            <w:rFonts w:eastAsia="Times New Roman"/>
            <w:sz w:val="22"/>
          </w:rPr>
          <w:fldChar w:fldCharType="begin"/>
        </w:r>
        <w:r w:rsidR="003F6DD6" w:rsidRPr="00DD4652">
          <w:rPr>
            <w:rStyle w:val="Hyperlink"/>
            <w:rFonts w:eastAsia="Times New Roman"/>
            <w:sz w:val="22"/>
          </w:rPr>
          <w:instrText xml:space="preserve"> ADDIN EN.CITE &lt;EndNote&gt;&lt;Cite AuthorYear="1"&gt;&lt;Author&gt;Setyarini&lt;/Author&gt;&lt;Year&gt;2020&lt;/Year&gt;&lt;RecNum&gt;10258&lt;/RecNum&gt;&lt;DisplayText&gt;Setyarini (2020)&lt;/DisplayText&gt;&lt;record&gt;&lt;rec-number&gt;10258&lt;/rec-number&gt;&lt;foreign-keys&gt;&lt;key app="EN" db-id="x5ezdazsa9zseqe5esy5zw9wxe95pawf2e0d" timestamp="1784700700"&gt;10258&lt;/key&gt;&lt;/foreign-keys&gt;&lt;ref-type name="Journal Article"&gt;17&lt;/ref-type&gt;&lt;contributors&gt;&lt;authors&gt;&lt;author&gt;Setyarini, Adhista&lt;/author&gt;&lt;/authors&gt;&lt;/contributors&gt;&lt;titles&gt;&lt;title&gt;Analisis pengaruh CAR, NPL, NIM, BOPO, LDR terhadap ROA (studi pada Bank Pembangunan Daerah di Indonesia Periode 2015-2018)&lt;/title&gt;&lt;secondary-title&gt;Research Fair Unisri&lt;/secondary-title&gt;&lt;/titles&gt;&lt;periodical&gt;&lt;full-title&gt;Research Fair Unisri&lt;/full-title&gt;&lt;/periodical&gt;&lt;volume&gt;4&lt;/volume&gt;&lt;number&gt;1&lt;/number&gt;&lt;dates&gt;&lt;year&gt;2020&lt;/year&gt;&lt;/dates&gt;&lt;isbn&gt;2580-5819&lt;/isbn&gt;&lt;urls&gt;&lt;/urls&gt;&lt;electronic-resource-num&gt;https://doi.org/10.33061/rsfu.v4i1.3409&lt;/electronic-resource-num&gt;&lt;/record&gt;&lt;/Cite&gt;&lt;/EndNote&gt;</w:instrText>
        </w:r>
        <w:r w:rsidR="003F6DD6" w:rsidRPr="00DD4652">
          <w:rPr>
            <w:rStyle w:val="Hyperlink"/>
            <w:rFonts w:eastAsia="Times New Roman"/>
            <w:sz w:val="22"/>
          </w:rPr>
          <w:fldChar w:fldCharType="separate"/>
        </w:r>
        <w:r w:rsidR="003F6DD6" w:rsidRPr="00DD4652">
          <w:rPr>
            <w:rStyle w:val="Hyperlink"/>
            <w:rFonts w:eastAsia="Times New Roman"/>
            <w:sz w:val="22"/>
          </w:rPr>
          <w:t>Setyarini (2020)</w:t>
        </w:r>
        <w:r w:rsidR="003F6DD6" w:rsidRPr="00DD4652">
          <w:rPr>
            <w:rStyle w:val="Hyperlink"/>
            <w:rFonts w:eastAsia="Times New Roman"/>
            <w:sz w:val="22"/>
          </w:rPr>
          <w:fldChar w:fldCharType="end"/>
        </w:r>
      </w:hyperlink>
      <w:r w:rsidRPr="00DD4652">
        <w:rPr>
          <w:rFonts w:eastAsia="Times New Roman"/>
          <w:sz w:val="22"/>
        </w:rPr>
        <w:t xml:space="preserve"> and indicates that, under controlled risk conditions, credit quality is not a primary determinant of profitability variation.</w:t>
      </w:r>
    </w:p>
    <w:p w14:paraId="28061342" w14:textId="77777777" w:rsidR="00D231D7" w:rsidRPr="00DD4652" w:rsidRDefault="00D231D7" w:rsidP="00D231D7">
      <w:pPr>
        <w:spacing w:line="240" w:lineRule="auto"/>
        <w:jc w:val="both"/>
        <w:rPr>
          <w:rFonts w:eastAsia="Times New Roman"/>
          <w:b/>
          <w:bCs/>
          <w:sz w:val="22"/>
        </w:rPr>
      </w:pPr>
    </w:p>
    <w:p w14:paraId="25BF7D6B" w14:textId="5D10E4D5" w:rsidR="00D231D7" w:rsidRPr="00DD4652" w:rsidRDefault="001C3F76" w:rsidP="00D231D7">
      <w:pPr>
        <w:pStyle w:val="ListParagraph"/>
        <w:numPr>
          <w:ilvl w:val="2"/>
          <w:numId w:val="1"/>
        </w:numPr>
        <w:spacing w:line="240" w:lineRule="auto"/>
        <w:ind w:left="540" w:hanging="540"/>
        <w:jc w:val="both"/>
        <w:rPr>
          <w:rFonts w:eastAsia="Times New Roman"/>
          <w:sz w:val="22"/>
        </w:rPr>
      </w:pPr>
      <w:r w:rsidRPr="00DD4652">
        <w:rPr>
          <w:rFonts w:eastAsia="Times New Roman"/>
          <w:sz w:val="22"/>
        </w:rPr>
        <w:t xml:space="preserve">The </w:t>
      </w:r>
      <w:r w:rsidR="00D231D7" w:rsidRPr="00DD4652">
        <w:rPr>
          <w:rFonts w:eastAsia="Times New Roman"/>
          <w:sz w:val="22"/>
        </w:rPr>
        <w:t>Moderating Role of Bank Size on the Green Credit-</w:t>
      </w:r>
      <w:r w:rsidRPr="00DD4652">
        <w:rPr>
          <w:rFonts w:eastAsia="Times New Roman"/>
          <w:sz w:val="22"/>
        </w:rPr>
        <w:t xml:space="preserve">ROA </w:t>
      </w:r>
      <w:r w:rsidR="00D231D7" w:rsidRPr="00DD4652">
        <w:rPr>
          <w:rFonts w:eastAsia="Times New Roman"/>
          <w:sz w:val="22"/>
        </w:rPr>
        <w:t>Relationship</w:t>
      </w:r>
    </w:p>
    <w:p w14:paraId="209EC9CC" w14:textId="7D3B17EF" w:rsidR="001C3F76" w:rsidRPr="00DD4652" w:rsidRDefault="001C3F76" w:rsidP="00D231D7">
      <w:pPr>
        <w:spacing w:line="240" w:lineRule="auto"/>
        <w:ind w:firstLine="540"/>
        <w:jc w:val="both"/>
        <w:rPr>
          <w:rFonts w:eastAsia="Times New Roman"/>
          <w:sz w:val="22"/>
        </w:rPr>
      </w:pPr>
      <w:r w:rsidRPr="00DD4652">
        <w:rPr>
          <w:rFonts w:eastAsia="Times New Roman"/>
          <w:i/>
          <w:iCs/>
          <w:sz w:val="22"/>
        </w:rPr>
        <w:t>H</w:t>
      </w:r>
      <w:r w:rsidRPr="00DD4652">
        <w:rPr>
          <w:rFonts w:eastAsia="Times New Roman"/>
          <w:i/>
          <w:iCs/>
          <w:sz w:val="22"/>
          <w:vertAlign w:val="subscript"/>
        </w:rPr>
        <w:t>3</w:t>
      </w:r>
      <w:r w:rsidRPr="00DD4652">
        <w:rPr>
          <w:rFonts w:eastAsia="Times New Roman"/>
          <w:sz w:val="22"/>
        </w:rPr>
        <w:t xml:space="preserve"> receives suggestive support. The green credit × bank size interaction is negative and significant under conventional standard errors (β=−0.066, p=0.007), weakening to marginal significance under robust inference (p=0.068). The simple slope analysis clarifies the pattern: green credit significantly raises ROA for small banks (slope=0.165, robust p=0.048), has a marginal effect for medium banks (slope=0.055), and no significant effect for large banks (slope=−0.054). The profitability benefit of green credit is thus concentrated among smaller institutions and dissipates as bank size increases. This directly answers the study's central question: bank size matters, but opposite to the scale-advantage prediction rather than large banks converting green commitments more efficiently, smaller banks reap the larger marginal gains. A plausible mechanism is that for smaller banks, operating from a lower base and a less diversified portfolio, green lending is a more material differentiator and a stronger market signal, whereas larger, already-diversified banks capture limited incremental profitability. This is consistent with </w:t>
      </w:r>
      <w:hyperlink w:anchor="_ENREF_40" w:tooltip="Sutrisno, 2024 #10222" w:history="1">
        <w:r w:rsidR="000343D7" w:rsidRPr="00DD4652">
          <w:rPr>
            <w:rStyle w:val="Hyperlink"/>
            <w:rFonts w:eastAsia="Times New Roman"/>
            <w:sz w:val="22"/>
          </w:rPr>
          <w:fldChar w:fldCharType="begin"/>
        </w:r>
        <w:r w:rsidR="000343D7" w:rsidRPr="00DD4652">
          <w:rPr>
            <w:rStyle w:val="Hyperlink"/>
            <w:rFonts w:eastAsia="Times New Roman"/>
            <w:sz w:val="22"/>
          </w:rPr>
          <w:instrText xml:space="preserve"> ADDIN EN.CITE &lt;EndNote&gt;&lt;Cite AuthorYear="1"&gt;&lt;Author&gt;Sutrisno&lt;/Author&gt;&lt;Year&gt;2024&lt;/Year&gt;&lt;RecNum&gt;10222&lt;/RecNum&gt;&lt;DisplayText&gt;Sutrisno et al. (2024)&lt;/DisplayText&gt;&lt;record&gt;&lt;rec-number&gt;10222&lt;/rec-number&gt;&lt;foreign-keys&gt;&lt;key app="EN" db-id="x5ezdazsa9zseqe5esy5zw9wxe95pawf2e0d" timestamp="1784691879"&gt;10222&lt;/key&gt;&lt;/foreign-keys&gt;&lt;ref-type name="Journal Article"&gt;17&lt;/ref-type&gt;&lt;contributors&gt;&lt;authors&gt;&lt;author&gt;Sutrisno, Sutrisno&lt;/author&gt;&lt;author&gt;Widarjono, Agus&lt;/author&gt;&lt;author&gt;Hakim, Abdul&lt;/author&gt;&lt;/authors&gt;&lt;/contributors&gt;&lt;titles&gt;&lt;title&gt;The role of green credit in bank profitability and stability: a case study on green banking in Indonesia&lt;/title&gt;&lt;secondary-title&gt;Risks&lt;/secondary-title&gt;&lt;/titles&gt;&lt;periodical&gt;&lt;full-title&gt;Risks&lt;/full-title&gt;&lt;/periodical&gt;&lt;pages&gt;198&lt;/pages&gt;&lt;volume&gt;12&lt;/volume&gt;&lt;number&gt;12&lt;/number&gt;&lt;dates&gt;&lt;year&gt;2024&lt;/year&gt;&lt;/dates&gt;&lt;isbn&gt;2227-9091&lt;/isbn&gt;&lt;urls&gt;&lt;/urls&gt;&lt;electronic-resource-num&gt;https://doi.org/10.3390/risks12120198&lt;/electronic-resource-num&gt;&lt;/record&gt;&lt;/Cite&gt;&lt;/EndNote&gt;</w:instrText>
        </w:r>
        <w:r w:rsidR="000343D7" w:rsidRPr="00DD4652">
          <w:rPr>
            <w:rStyle w:val="Hyperlink"/>
            <w:rFonts w:eastAsia="Times New Roman"/>
            <w:sz w:val="22"/>
          </w:rPr>
          <w:fldChar w:fldCharType="separate"/>
        </w:r>
        <w:r w:rsidR="000343D7" w:rsidRPr="00DD4652">
          <w:rPr>
            <w:rStyle w:val="Hyperlink"/>
            <w:rFonts w:eastAsia="Times New Roman"/>
            <w:sz w:val="22"/>
          </w:rPr>
          <w:t>Sutrisno et al. (2024)</w:t>
        </w:r>
        <w:r w:rsidR="000343D7" w:rsidRPr="00DD4652">
          <w:rPr>
            <w:rStyle w:val="Hyperlink"/>
            <w:rFonts w:eastAsia="Times New Roman"/>
            <w:sz w:val="22"/>
          </w:rPr>
          <w:fldChar w:fldCharType="end"/>
        </w:r>
      </w:hyperlink>
      <w:r w:rsidRPr="00DD4652">
        <w:rPr>
          <w:rFonts w:eastAsia="Times New Roman"/>
          <w:sz w:val="22"/>
        </w:rPr>
        <w:t xml:space="preserve"> and</w:t>
      </w:r>
      <w:r w:rsidR="00E575EB" w:rsidRPr="00DD4652">
        <w:rPr>
          <w:rFonts w:eastAsia="Times New Roman"/>
          <w:color w:val="000000"/>
          <w:sz w:val="22"/>
        </w:rPr>
        <w:t xml:space="preserve"> </w:t>
      </w:r>
      <w:hyperlink w:anchor="_ENREF_13" w:tooltip="Fata, 2024 #10251" w:history="1">
        <w:r w:rsidR="00E575EB" w:rsidRPr="00DD4652">
          <w:rPr>
            <w:rStyle w:val="Hyperlink"/>
            <w:rFonts w:eastAsia="Times New Roman"/>
            <w:sz w:val="22"/>
          </w:rPr>
          <w:fldChar w:fldCharType="begin"/>
        </w:r>
        <w:r w:rsidR="00E575EB" w:rsidRPr="00DD4652">
          <w:rPr>
            <w:rStyle w:val="Hyperlink"/>
            <w:rFonts w:eastAsia="Times New Roman"/>
            <w:sz w:val="22"/>
          </w:rPr>
          <w:instrText xml:space="preserve"> ADDIN EN.CITE &lt;EndNote&gt;&lt;Cite AuthorYear="1"&gt;&lt;Author&gt;Fata&lt;/Author&gt;&lt;Year&gt;2024&lt;/Year&gt;&lt;RecNum&gt;10251&lt;/RecNum&gt;&lt;DisplayText&gt;Fata and Arifin (2024)&lt;/DisplayText&gt;&lt;record&gt;&lt;rec-number&gt;10251&lt;/rec-number&gt;&lt;foreign-keys&gt;&lt;key app="EN" db-id="x5ezdazsa9zseqe5esy5zw9wxe95pawf2e0d" timestamp="1784695762"&gt;10251&lt;/key&gt;&lt;/foreign-keys&gt;&lt;ref-type name="Journal Article"&gt;17&lt;/ref-type&gt;&lt;contributors&gt;&lt;authors&gt;&lt;author&gt;Fata, Fikri Ali&lt;/author&gt;&lt;author&gt;Arifin, Zaenal&lt;/author&gt;&lt;/authors&gt;&lt;/contributors&gt;&lt;titles&gt;&lt;title&gt;The impact of green credit distribution on bank performance and influencing factors: a case study of Indonesian banks&lt;/title&gt;&lt;secondary-title&gt;International Journal of Research in Business and Social Science&lt;/secondary-title&gt;&lt;/titles&gt;&lt;periodical&gt;&lt;full-title&gt;International Journal of Research in Business and Social Science&lt;/full-title&gt;&lt;/periodical&gt;&lt;pages&gt;323-332&lt;/pages&gt;&lt;volume&gt;13&lt;/volume&gt;&lt;number&gt;1&lt;/number&gt;&lt;dates&gt;&lt;year&gt;2024&lt;/year&gt;&lt;/dates&gt;&lt;isbn&gt;2147-4478&lt;/isbn&gt;&lt;urls&gt;&lt;/urls&gt;&lt;electronic-resource-num&gt;https://doi.org/10.20525/ijrbs.v13i1.3185&lt;/electronic-resource-num&gt;&lt;/record&gt;&lt;/Cite&gt;&lt;/EndNote&gt;</w:instrText>
        </w:r>
        <w:r w:rsidR="00E575EB" w:rsidRPr="00DD4652">
          <w:rPr>
            <w:rStyle w:val="Hyperlink"/>
            <w:rFonts w:eastAsia="Times New Roman"/>
            <w:sz w:val="22"/>
          </w:rPr>
          <w:fldChar w:fldCharType="separate"/>
        </w:r>
        <w:r w:rsidR="00E575EB" w:rsidRPr="00DD4652">
          <w:rPr>
            <w:rStyle w:val="Hyperlink"/>
            <w:rFonts w:eastAsia="Times New Roman"/>
            <w:sz w:val="22"/>
          </w:rPr>
          <w:t>Fata and Arifin (2024)</w:t>
        </w:r>
        <w:r w:rsidR="00E575EB" w:rsidRPr="00DD4652">
          <w:rPr>
            <w:rStyle w:val="Hyperlink"/>
            <w:rFonts w:eastAsia="Times New Roman"/>
            <w:sz w:val="22"/>
          </w:rPr>
          <w:fldChar w:fldCharType="end"/>
        </w:r>
      </w:hyperlink>
      <w:r w:rsidRPr="00DD4652">
        <w:rPr>
          <w:rFonts w:eastAsia="Times New Roman"/>
          <w:sz w:val="22"/>
        </w:rPr>
        <w:t>, whose subgroup analyses found green</w:t>
      </w:r>
      <w:r w:rsidR="00FC45DE" w:rsidRPr="00DD4652">
        <w:rPr>
          <w:rFonts w:eastAsia="Times New Roman"/>
          <w:sz w:val="22"/>
        </w:rPr>
        <w:t xml:space="preserve"> </w:t>
      </w:r>
      <w:r w:rsidRPr="00DD4652">
        <w:rPr>
          <w:rFonts w:eastAsia="Times New Roman"/>
          <w:sz w:val="22"/>
        </w:rPr>
        <w:t>credit effects significant only among smaller banks, and complements</w:t>
      </w:r>
      <w:r w:rsidR="00B16A52" w:rsidRPr="00DD4652">
        <w:rPr>
          <w:rFonts w:eastAsia="Times New Roman"/>
          <w:color w:val="000000"/>
          <w:sz w:val="22"/>
        </w:rPr>
        <w:t xml:space="preserve"> </w:t>
      </w:r>
      <w:r w:rsidR="00B16A52" w:rsidRPr="00DD4652">
        <w:rPr>
          <w:rFonts w:eastAsia="Times New Roman"/>
          <w:color w:val="000000"/>
          <w:sz w:val="22"/>
        </w:rPr>
        <w:fldChar w:fldCharType="begin"/>
      </w:r>
      <w:r w:rsidR="00B16A52" w:rsidRPr="00DD4652">
        <w:rPr>
          <w:rFonts w:eastAsia="Times New Roman"/>
          <w:color w:val="000000"/>
          <w:sz w:val="22"/>
        </w:rPr>
        <w:instrText xml:space="preserve"> ADDIN EN.CITE &lt;EndNote&gt;&lt;Cite&gt;&lt;Author&gt;Muchiri&lt;/Author&gt;&lt;Year&gt;2025&lt;/Year&gt;&lt;RecNum&gt;10260&lt;/RecNum&gt;&lt;DisplayText&gt;(Muchiri et al., 2025)&lt;/DisplayText&gt;&lt;record&gt;&lt;rec-number&gt;10260&lt;/rec-number&gt;&lt;foreign-keys&gt;&lt;key app="EN" db-id="x5ezdazsa9zseqe5esy5zw9wxe95pawf2e0d" timestamp="1784701037"&gt;10260&lt;/key&gt;&lt;/foreign-keys&gt;&lt;ref-type name="Journal Article"&gt;17&lt;/ref-type&gt;&lt;contributors&gt;&lt;authors&gt;&lt;author&gt;Muchiri, Martin Kamau&lt;/author&gt;&lt;author&gt;Fekete-Farkas, Maria&lt;/author&gt;&lt;author&gt;Erdei-Gally, Szilvia Kesmarki&lt;/author&gt;&lt;/authors&gt;&lt;/contributors&gt;&lt;titles&gt;&lt;title&gt;How do green banking practices impact banks’ profitability? A meta-analysis&lt;/title&gt;&lt;secondary-title&gt;Journal of Risk and Financial Management&lt;/secondary-title&gt;&lt;/titles&gt;&lt;periodical&gt;&lt;full-title&gt;Journal of Risk and Financial Management&lt;/full-title&gt;&lt;/periodical&gt;&lt;pages&gt;320&lt;/pages&gt;&lt;volume&gt;18&lt;/volume&gt;&lt;number&gt;6&lt;/number&gt;&lt;dates&gt;&lt;year&gt;2025&lt;/year&gt;&lt;/dates&gt;&lt;isbn&gt;1911-8074&lt;/isbn&gt;&lt;urls&gt;&lt;/urls&gt;&lt;electronic-resource-num&gt;https://doi.org/10.3390/jrfm18060320&lt;/electronic-resource-num&gt;&lt;/record&gt;&lt;/Cite&gt;&lt;/EndNote&gt;</w:instrText>
      </w:r>
      <w:r w:rsidR="00B16A52" w:rsidRPr="00DD4652">
        <w:rPr>
          <w:rFonts w:eastAsia="Times New Roman"/>
          <w:color w:val="000000"/>
          <w:sz w:val="22"/>
        </w:rPr>
        <w:fldChar w:fldCharType="separate"/>
      </w:r>
      <w:r w:rsidR="00B16A52" w:rsidRPr="00DD4652">
        <w:rPr>
          <w:rFonts w:eastAsia="Times New Roman"/>
          <w:color w:val="000000"/>
          <w:sz w:val="22"/>
        </w:rPr>
        <w:t>(</w:t>
      </w:r>
      <w:hyperlink w:anchor="_ENREF_27" w:tooltip="Muchiri, 2025 #10260" w:history="1">
        <w:r w:rsidR="00B16A52" w:rsidRPr="00DD4652">
          <w:rPr>
            <w:rStyle w:val="Hyperlink"/>
            <w:rFonts w:eastAsia="Times New Roman"/>
            <w:sz w:val="22"/>
          </w:rPr>
          <w:t>Muchiri et al., 2025</w:t>
        </w:r>
      </w:hyperlink>
      <w:r w:rsidR="00B16A52" w:rsidRPr="00DD4652">
        <w:rPr>
          <w:rFonts w:eastAsia="Times New Roman"/>
          <w:color w:val="000000"/>
          <w:sz w:val="22"/>
        </w:rPr>
        <w:t>)</w:t>
      </w:r>
      <w:r w:rsidR="00B16A52" w:rsidRPr="00DD4652">
        <w:rPr>
          <w:rFonts w:eastAsia="Times New Roman"/>
          <w:color w:val="000000"/>
          <w:sz w:val="22"/>
        </w:rPr>
        <w:fldChar w:fldCharType="end"/>
      </w:r>
      <w:r w:rsidR="008A7DA8" w:rsidRPr="00DD4652">
        <w:rPr>
          <w:rFonts w:eastAsia="Times New Roman"/>
          <w:sz w:val="22"/>
        </w:rPr>
        <w:t>.</w:t>
      </w:r>
    </w:p>
    <w:p w14:paraId="64C22034" w14:textId="77777777" w:rsidR="00D231D7" w:rsidRPr="00DD4652" w:rsidRDefault="00D231D7" w:rsidP="00D231D7">
      <w:pPr>
        <w:spacing w:line="240" w:lineRule="auto"/>
        <w:jc w:val="both"/>
        <w:rPr>
          <w:rFonts w:eastAsia="Times New Roman"/>
          <w:b/>
          <w:bCs/>
          <w:sz w:val="22"/>
        </w:rPr>
      </w:pPr>
    </w:p>
    <w:p w14:paraId="6F37CB41" w14:textId="09B54226" w:rsidR="00D231D7" w:rsidRPr="00DD4652" w:rsidRDefault="001C3F76" w:rsidP="00D231D7">
      <w:pPr>
        <w:pStyle w:val="ListParagraph"/>
        <w:numPr>
          <w:ilvl w:val="2"/>
          <w:numId w:val="1"/>
        </w:numPr>
        <w:spacing w:line="240" w:lineRule="auto"/>
        <w:ind w:left="540" w:hanging="540"/>
        <w:jc w:val="both"/>
        <w:rPr>
          <w:rFonts w:eastAsia="Times New Roman"/>
          <w:sz w:val="22"/>
        </w:rPr>
      </w:pPr>
      <w:r w:rsidRPr="00DD4652">
        <w:rPr>
          <w:rFonts w:eastAsia="Times New Roman"/>
          <w:sz w:val="22"/>
        </w:rPr>
        <w:t xml:space="preserve">The </w:t>
      </w:r>
      <w:r w:rsidR="00D231D7" w:rsidRPr="00DD4652">
        <w:rPr>
          <w:rFonts w:eastAsia="Times New Roman"/>
          <w:sz w:val="22"/>
        </w:rPr>
        <w:t xml:space="preserve">Moderating Role of Bank Size on the </w:t>
      </w:r>
      <w:r w:rsidRPr="00DD4652">
        <w:rPr>
          <w:rFonts w:eastAsia="Times New Roman"/>
          <w:sz w:val="22"/>
        </w:rPr>
        <w:t>NPL</w:t>
      </w:r>
      <w:r w:rsidR="00D231D7" w:rsidRPr="00DD4652">
        <w:rPr>
          <w:rFonts w:eastAsia="Times New Roman"/>
          <w:sz w:val="22"/>
        </w:rPr>
        <w:t>-</w:t>
      </w:r>
      <w:r w:rsidRPr="00DD4652">
        <w:rPr>
          <w:rFonts w:eastAsia="Times New Roman"/>
          <w:sz w:val="22"/>
        </w:rPr>
        <w:t xml:space="preserve">ROA </w:t>
      </w:r>
      <w:r w:rsidR="00D231D7" w:rsidRPr="00DD4652">
        <w:rPr>
          <w:rFonts w:eastAsia="Times New Roman"/>
          <w:sz w:val="22"/>
        </w:rPr>
        <w:t>Relationship</w:t>
      </w:r>
    </w:p>
    <w:p w14:paraId="06B058AD" w14:textId="17B126D4" w:rsidR="001C3F76" w:rsidRPr="00DD4652" w:rsidRDefault="001C3F76" w:rsidP="00D231D7">
      <w:pPr>
        <w:spacing w:line="240" w:lineRule="auto"/>
        <w:ind w:firstLine="540"/>
        <w:jc w:val="both"/>
        <w:rPr>
          <w:rFonts w:eastAsia="Times New Roman"/>
          <w:sz w:val="22"/>
        </w:rPr>
      </w:pPr>
      <w:r w:rsidRPr="00DD4652">
        <w:rPr>
          <w:rFonts w:eastAsia="Times New Roman"/>
          <w:i/>
          <w:iCs/>
          <w:sz w:val="22"/>
        </w:rPr>
        <w:t>H</w:t>
      </w:r>
      <w:r w:rsidRPr="00DD4652">
        <w:rPr>
          <w:rFonts w:eastAsia="Times New Roman"/>
          <w:i/>
          <w:iCs/>
          <w:sz w:val="22"/>
          <w:vertAlign w:val="subscript"/>
        </w:rPr>
        <w:t>4</w:t>
      </w:r>
      <w:r w:rsidRPr="00DD4652">
        <w:rPr>
          <w:rFonts w:eastAsia="Times New Roman"/>
          <w:sz w:val="22"/>
        </w:rPr>
        <w:t xml:space="preserve"> is not supported</w:t>
      </w:r>
      <w:r w:rsidR="00D231D7" w:rsidRPr="00DD4652">
        <w:rPr>
          <w:rFonts w:eastAsia="Times New Roman"/>
          <w:sz w:val="22"/>
        </w:rPr>
        <w:t>.</w:t>
      </w:r>
      <w:r w:rsidRPr="00DD4652">
        <w:rPr>
          <w:rFonts w:eastAsia="Times New Roman"/>
          <w:sz w:val="22"/>
        </w:rPr>
        <w:t xml:space="preserve"> </w:t>
      </w:r>
      <w:r w:rsidR="00D231D7" w:rsidRPr="00DD4652">
        <w:rPr>
          <w:rFonts w:eastAsia="Times New Roman"/>
          <w:sz w:val="22"/>
        </w:rPr>
        <w:t>T</w:t>
      </w:r>
      <w:r w:rsidRPr="00DD4652">
        <w:rPr>
          <w:rFonts w:eastAsia="Times New Roman"/>
          <w:sz w:val="22"/>
        </w:rPr>
        <w:t>he NPL × bank size interaction is not significant (p=0.076 conventional</w:t>
      </w:r>
      <w:r w:rsidR="00D231D7" w:rsidRPr="00DD4652">
        <w:rPr>
          <w:rFonts w:eastAsia="Times New Roman"/>
          <w:sz w:val="22"/>
        </w:rPr>
        <w:t>,</w:t>
      </w:r>
      <w:r w:rsidRPr="00DD4652">
        <w:rPr>
          <w:rFonts w:eastAsia="Times New Roman"/>
          <w:sz w:val="22"/>
        </w:rPr>
        <w:t xml:space="preserve"> 0.128 robust). Bank size neither amplifies nor buffers the (already insignificant) effect of credit risk on profitability. This contrasts with</w:t>
      </w:r>
      <w:r w:rsidR="00432863" w:rsidRPr="00DD4652">
        <w:rPr>
          <w:rFonts w:eastAsia="Times New Roman"/>
          <w:sz w:val="22"/>
        </w:rPr>
        <w:t xml:space="preserve"> </w:t>
      </w:r>
      <w:hyperlink w:anchor="_ENREF_17" w:tooltip="Gupta, 2026 #10224" w:history="1">
        <w:r w:rsidR="00432863" w:rsidRPr="00DD4652">
          <w:rPr>
            <w:rStyle w:val="Hyperlink"/>
            <w:rFonts w:eastAsia="Times New Roman"/>
            <w:sz w:val="22"/>
          </w:rPr>
          <w:fldChar w:fldCharType="begin"/>
        </w:r>
        <w:r w:rsidR="00432863" w:rsidRPr="00DD4652">
          <w:rPr>
            <w:rStyle w:val="Hyperlink"/>
            <w:rFonts w:eastAsia="Times New Roman"/>
            <w:sz w:val="22"/>
          </w:rPr>
          <w:instrText xml:space="preserve"> ADDIN EN.CITE &lt;EndNote&gt;&lt;Cite AuthorYear="1"&gt;&lt;Author&gt;Gupta&lt;/Author&gt;&lt;Year&gt;2026&lt;/Year&gt;&lt;RecNum&gt;10224&lt;/RecNum&gt;&lt;DisplayText&gt;Gupta and Bansal (2026)&lt;/DisplayText&gt;&lt;record&gt;&lt;rec-number&gt;10224&lt;/rec-number&gt;&lt;foreign-keys&gt;&lt;key app="EN" db-id="x5ezdazsa9zseqe5esy5zw9wxe95pawf2e0d" timestamp="1784692265"&gt;10224&lt;/key&gt;&lt;/foreign-keys&gt;&lt;ref-type name="Journal Article"&gt;17&lt;/ref-type&gt;&lt;contributors&gt;&lt;authors&gt;&lt;author&gt;Gupta, Shweta&lt;/author&gt;&lt;author&gt;Bansal, Rohit&lt;/author&gt;&lt;/authors&gt;&lt;/contributors&gt;&lt;titles&gt;&lt;title&gt;Understanding bank lending and its relationship with profitability and non-performing loans: A meta-analysis&lt;/title&gt;&lt;secondary-title&gt;Journal of Economic and Administrative Sciences&lt;/secondary-title&gt;&lt;/titles&gt;&lt;periodical&gt;&lt;full-title&gt;Journal of Economic and Administrative Sciences&lt;/full-title&gt;&lt;/periodical&gt;&lt;pages&gt;597-613&lt;/pages&gt;&lt;volume&gt;42&lt;/volume&gt;&lt;number&gt;3&lt;/number&gt;&lt;dates&gt;&lt;year&gt;2026&lt;/year&gt;&lt;/dates&gt;&lt;isbn&gt;2054-6238&lt;/isbn&gt;&lt;urls&gt;&lt;/urls&gt;&lt;electronic-resource-num&gt;https://doi.org/10.1108/JEAS-03-2023-0060&lt;/electronic-resource-num&gt;&lt;/record&gt;&lt;/Cite&gt;&lt;/EndNote&gt;</w:instrText>
        </w:r>
        <w:r w:rsidR="00432863" w:rsidRPr="00DD4652">
          <w:rPr>
            <w:rStyle w:val="Hyperlink"/>
            <w:rFonts w:eastAsia="Times New Roman"/>
            <w:sz w:val="22"/>
          </w:rPr>
          <w:fldChar w:fldCharType="separate"/>
        </w:r>
        <w:r w:rsidR="00432863" w:rsidRPr="00DD4652">
          <w:rPr>
            <w:rStyle w:val="Hyperlink"/>
            <w:rFonts w:eastAsia="Times New Roman"/>
            <w:sz w:val="22"/>
          </w:rPr>
          <w:t>Gupta and Bansal (2026)</w:t>
        </w:r>
        <w:r w:rsidR="00432863" w:rsidRPr="00DD4652">
          <w:rPr>
            <w:rStyle w:val="Hyperlink"/>
            <w:rFonts w:eastAsia="Times New Roman"/>
            <w:sz w:val="22"/>
          </w:rPr>
          <w:fldChar w:fldCharType="end"/>
        </w:r>
      </w:hyperlink>
      <w:r w:rsidRPr="00DD4652">
        <w:rPr>
          <w:rFonts w:eastAsia="Times New Roman"/>
          <w:sz w:val="22"/>
        </w:rPr>
        <w:t xml:space="preserve"> and</w:t>
      </w:r>
      <w:r w:rsidR="00C91935" w:rsidRPr="00DD4652">
        <w:rPr>
          <w:rFonts w:eastAsia="Times New Roman"/>
          <w:sz w:val="22"/>
        </w:rPr>
        <w:t xml:space="preserve">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who found the adverse NPL effect stronger in smaller banks; the divergence likely reflects the benign credit-risk environment of the post-pandemic Indonesian sample.</w:t>
      </w:r>
    </w:p>
    <w:p w14:paraId="542D5C03" w14:textId="77777777" w:rsidR="00D231D7" w:rsidRPr="00DD4652" w:rsidRDefault="00D231D7" w:rsidP="00D231D7">
      <w:pPr>
        <w:spacing w:line="240" w:lineRule="auto"/>
        <w:jc w:val="both"/>
        <w:rPr>
          <w:rFonts w:eastAsia="Times New Roman"/>
          <w:b/>
          <w:bCs/>
          <w:sz w:val="22"/>
        </w:rPr>
      </w:pPr>
    </w:p>
    <w:p w14:paraId="387DA853" w14:textId="6590618E" w:rsidR="00D231D7" w:rsidRPr="00DD4652" w:rsidRDefault="001C3F76" w:rsidP="00D231D7">
      <w:pPr>
        <w:pStyle w:val="ListParagraph"/>
        <w:numPr>
          <w:ilvl w:val="2"/>
          <w:numId w:val="1"/>
        </w:numPr>
        <w:spacing w:line="240" w:lineRule="auto"/>
        <w:ind w:left="540" w:hanging="540"/>
        <w:jc w:val="both"/>
        <w:rPr>
          <w:rFonts w:eastAsia="Times New Roman"/>
          <w:sz w:val="22"/>
        </w:rPr>
      </w:pPr>
      <w:r w:rsidRPr="00DD4652">
        <w:rPr>
          <w:rFonts w:eastAsia="Times New Roman"/>
          <w:sz w:val="22"/>
        </w:rPr>
        <w:t>Regional positioning</w:t>
      </w:r>
    </w:p>
    <w:p w14:paraId="364695DA" w14:textId="3DB2FEAB" w:rsidR="001C3F76" w:rsidRPr="00DD4652" w:rsidRDefault="001C3F76" w:rsidP="00D231D7">
      <w:pPr>
        <w:spacing w:line="240" w:lineRule="auto"/>
        <w:ind w:firstLine="540"/>
        <w:jc w:val="both"/>
        <w:rPr>
          <w:rFonts w:eastAsia="Times New Roman"/>
          <w:sz w:val="22"/>
        </w:rPr>
      </w:pPr>
      <w:r w:rsidRPr="00DD4652">
        <w:rPr>
          <w:rFonts w:eastAsia="Times New Roman"/>
          <w:sz w:val="22"/>
        </w:rPr>
        <w:t>In regional context, these results occupy a middle ground. The positive-but-conditional green-credit effect echoes Chinese evidence</w:t>
      </w:r>
      <w:r w:rsidR="00C22934" w:rsidRPr="00DD4652">
        <w:rPr>
          <w:rFonts w:eastAsia="Times New Roman"/>
          <w:sz w:val="22"/>
        </w:rPr>
        <w:t xml:space="preserve"> </w:t>
      </w:r>
      <w:hyperlink w:anchor="_ENREF_43" w:tooltip="Yin, 2021 #10226" w:history="1">
        <w:r w:rsidR="00C22934" w:rsidRPr="00DD4652">
          <w:rPr>
            <w:rStyle w:val="Hyperlink"/>
            <w:rFonts w:eastAsia="Times New Roman"/>
            <w:sz w:val="22"/>
          </w:rPr>
          <w:fldChar w:fldCharType="begin"/>
        </w:r>
        <w:r w:rsidR="00C22934" w:rsidRPr="00DD4652">
          <w:rPr>
            <w:rStyle w:val="Hyperlink"/>
            <w:rFonts w:eastAsia="Times New Roman"/>
            <w:sz w:val="22"/>
          </w:rPr>
          <w:instrText xml:space="preserve"> ADDIN EN.CITE &lt;EndNote&gt;&lt;Cite AuthorYear="1"&gt;&lt;Author&gt;Yin&lt;/Author&gt;&lt;Year&gt;2021&lt;/Year&gt;&lt;RecNum&gt;10226&lt;/RecNum&gt;&lt;DisplayText&gt;Yin et al. (2021)&lt;/DisplayText&gt;&lt;record&gt;&lt;rec-number&gt;10226&lt;/rec-number&gt;&lt;foreign-keys&gt;&lt;key app="EN" db-id="x5ezdazsa9zseqe5esy5zw9wxe95pawf2e0d" timestamp="1784692521"&gt;10226&lt;/key&gt;&lt;/foreign-keys&gt;&lt;ref-type name="Journal Article"&gt;17&lt;/ref-type&gt;&lt;contributors&gt;&lt;authors&gt;&lt;author&gt;Yin, Wei&lt;/author&gt;&lt;author&gt;Zhu, Zheyi&lt;/author&gt;&lt;author&gt;Kirkulak-Uludag, Berna&lt;/author&gt;&lt;author&gt;Zhu, Yaping&lt;/author&gt;&lt;/authors&gt;&lt;/contributors&gt;&lt;titles&gt;&lt;title&gt;The determinants of green credit and its impact on the performance of Chinese banks&lt;/title&gt;&lt;secondary-title&gt;Journal of Cleaner Production&lt;/secondary-title&gt;&lt;/titles&gt;&lt;periodical&gt;&lt;full-title&gt;Journal of Cleaner Production&lt;/full-title&gt;&lt;/periodical&gt;&lt;pages&gt;124991&lt;/pages&gt;&lt;volume&gt;286&lt;/volume&gt;&lt;dates&gt;&lt;year&gt;2021&lt;/year&gt;&lt;/dates&gt;&lt;isbn&gt;0959-6526&lt;/isbn&gt;&lt;urls&gt;&lt;/urls&gt;&lt;electronic-resource-num&gt;https://doi.org/10.1016/j.jclepro.2020.124991&lt;/electronic-resource-num&gt;&lt;/record&gt;&lt;/Cite&gt;&lt;/EndNote&gt;</w:instrText>
        </w:r>
        <w:r w:rsidR="00C22934" w:rsidRPr="00DD4652">
          <w:rPr>
            <w:rStyle w:val="Hyperlink"/>
            <w:rFonts w:eastAsia="Times New Roman"/>
            <w:sz w:val="22"/>
          </w:rPr>
          <w:fldChar w:fldCharType="separate"/>
        </w:r>
        <w:r w:rsidR="00C22934" w:rsidRPr="00DD4652">
          <w:rPr>
            <w:rStyle w:val="Hyperlink"/>
            <w:rFonts w:eastAsia="Times New Roman"/>
            <w:sz w:val="22"/>
          </w:rPr>
          <w:t>Yin et al. (2021)</w:t>
        </w:r>
        <w:r w:rsidR="00C22934" w:rsidRPr="00DD4652">
          <w:rPr>
            <w:rStyle w:val="Hyperlink"/>
            <w:rFonts w:eastAsia="Times New Roman"/>
            <w:sz w:val="22"/>
          </w:rPr>
          <w:fldChar w:fldCharType="end"/>
        </w:r>
      </w:hyperlink>
      <w:r w:rsidR="003A0861" w:rsidRPr="00DD4652">
        <w:rPr>
          <w:rFonts w:eastAsia="Times New Roman"/>
          <w:sz w:val="22"/>
        </w:rPr>
        <w:t xml:space="preserve">, </w:t>
      </w:r>
      <w:hyperlink w:anchor="_ENREF_24" w:tooltip="Lian, 2022 #10235" w:history="1">
        <w:r w:rsidR="003A0861" w:rsidRPr="00DD4652">
          <w:rPr>
            <w:rStyle w:val="Hyperlink"/>
            <w:rFonts w:eastAsia="Times New Roman"/>
            <w:sz w:val="22"/>
          </w:rPr>
          <w:fldChar w:fldCharType="begin"/>
        </w:r>
        <w:r w:rsidR="003A0861" w:rsidRPr="00DD4652">
          <w:rPr>
            <w:rStyle w:val="Hyperlink"/>
            <w:rFonts w:eastAsia="Times New Roman"/>
            <w:sz w:val="22"/>
          </w:rPr>
          <w:instrText xml:space="preserve"> ADDIN EN.CITE &lt;EndNote&gt;&lt;Cite AuthorYear="1"&gt;&lt;Author&gt;Lian&lt;/Author&gt;&lt;Year&gt;2022&lt;/Year&gt;&lt;RecNum&gt;10235&lt;/RecNum&gt;&lt;DisplayText&gt;Lian et al. (2022)&lt;/DisplayText&gt;&lt;record&gt;&lt;rec-number&gt;10235&lt;/rec-number&gt;&lt;foreign-keys&gt;&lt;key app="EN" db-id="x5ezdazsa9zseqe5esy5zw9wxe95pawf2e0d" timestamp="1784693528"&gt;10235&lt;/key&gt;&lt;/foreign-keys&gt;&lt;ref-type name="Journal Article"&gt;17&lt;/ref-type&gt;&lt;contributors&gt;&lt;authors&gt;&lt;author&gt;Lian, Yonghui&lt;/author&gt;&lt;author&gt;Gao, Jieying&lt;/author&gt;&lt;author&gt;Ye, Tao&lt;/author&gt;&lt;/authors&gt;&lt;/contributors&gt;&lt;titles&gt;&lt;title&gt;How does green credit affect the financial performance of commercial banks? Evidence from China&lt;/title&gt;&lt;secondary-title&gt;Journal of Cleaner Production&lt;/secondary-title&gt;&lt;/titles&gt;&lt;periodical&gt;&lt;full-title&gt;Journal of Cleaner Production&lt;/full-title&gt;&lt;/periodical&gt;&lt;pages&gt;131069&lt;/pages&gt;&lt;volume&gt;344&lt;/volume&gt;&lt;dates&gt;&lt;year&gt;2022&lt;/year&gt;&lt;/dates&gt;&lt;isbn&gt;0959-6526&lt;/isbn&gt;&lt;urls&gt;&lt;/urls&gt;&lt;electronic-resource-num&gt;https://doi.org/10.1016/j.jclepro.2022.131069&lt;/electronic-resource-num&gt;&lt;/record&gt;&lt;/Cite&gt;&lt;/EndNote&gt;</w:instrText>
        </w:r>
        <w:r w:rsidR="003A0861" w:rsidRPr="00DD4652">
          <w:rPr>
            <w:rStyle w:val="Hyperlink"/>
            <w:rFonts w:eastAsia="Times New Roman"/>
            <w:sz w:val="22"/>
          </w:rPr>
          <w:fldChar w:fldCharType="separate"/>
        </w:r>
        <w:r w:rsidR="003A0861" w:rsidRPr="00DD4652">
          <w:rPr>
            <w:rStyle w:val="Hyperlink"/>
            <w:rFonts w:eastAsia="Times New Roman"/>
            <w:sz w:val="22"/>
          </w:rPr>
          <w:t>Lian et al. (2022)</w:t>
        </w:r>
        <w:r w:rsidR="003A0861" w:rsidRPr="00DD4652">
          <w:rPr>
            <w:rStyle w:val="Hyperlink"/>
            <w:rFonts w:eastAsia="Times New Roman"/>
            <w:sz w:val="22"/>
          </w:rPr>
          <w:fldChar w:fldCharType="end"/>
        </w:r>
      </w:hyperlink>
      <w:r w:rsidR="00CA5D70" w:rsidRPr="00DD4652">
        <w:rPr>
          <w:rFonts w:eastAsia="Times New Roman"/>
          <w:sz w:val="22"/>
        </w:rPr>
        <w:t xml:space="preserve">, and </w:t>
      </w:r>
      <w:hyperlink w:anchor="_ENREF_38" w:tooltip="Song, 2025 #10254" w:history="1">
        <w:r w:rsidR="00CA5D70" w:rsidRPr="00DD4652">
          <w:rPr>
            <w:rStyle w:val="Hyperlink"/>
            <w:rFonts w:eastAsia="Times New Roman"/>
            <w:sz w:val="22"/>
          </w:rPr>
          <w:fldChar w:fldCharType="begin"/>
        </w:r>
        <w:r w:rsidR="00CA5D70" w:rsidRPr="00DD4652">
          <w:rPr>
            <w:rStyle w:val="Hyperlink"/>
            <w:rFonts w:eastAsia="Times New Roman"/>
            <w:sz w:val="22"/>
          </w:rPr>
          <w:instrText xml:space="preserve"> ADDIN EN.CITE &lt;EndNote&gt;&lt;Cite AuthorYear="1"&gt;&lt;Author&gt;Song&lt;/Author&gt;&lt;Year&gt;2025&lt;/Year&gt;&lt;RecNum&gt;10254&lt;/RecNum&gt;&lt;DisplayText&gt;Song et al. (2025)&lt;/DisplayText&gt;&lt;record&gt;&lt;rec-number&gt;10254&lt;/rec-number&gt;&lt;foreign-keys&gt;&lt;key app="EN" db-id="x5ezdazsa9zseqe5esy5zw9wxe95pawf2e0d" timestamp="1784700151"&gt;10254&lt;/key&gt;&lt;/foreign-keys&gt;&lt;ref-type name="Journal Article"&gt;17&lt;/ref-type&gt;&lt;contributors&gt;&lt;authors&gt;&lt;author&gt;Song, Jianbo&lt;/author&gt;&lt;author&gt;Cao, Wencheng&lt;/author&gt;&lt;author&gt;Shan, Yuan George&lt;/author&gt;&lt;/authors&gt;&lt;/contributors&gt;&lt;titles&gt;&lt;title&gt;Green credit and bank’s risk-taking: evidence from China&lt;/title&gt;&lt;secondary-title&gt;International Journal of Managerial Finance&lt;/secondary-title&gt;&lt;/titles&gt;&lt;periodical&gt;&lt;full-title&gt;International Journal of Managerial Finance&lt;/full-title&gt;&lt;/periodical&gt;&lt;pages&gt;157-184&lt;/pages&gt;&lt;volume&gt;21&lt;/volume&gt;&lt;number&gt;1&lt;/number&gt;&lt;dates&gt;&lt;year&gt;2025&lt;/year&gt;&lt;/dates&gt;&lt;isbn&gt;1743-9132&lt;/isbn&gt;&lt;urls&gt;&lt;/urls&gt;&lt;electronic-resource-num&gt;https://doi.org/10.1108/IJMF-03-2024-0144&lt;/electronic-resource-num&gt;&lt;/record&gt;&lt;/Cite&gt;&lt;/EndNote&gt;</w:instrText>
        </w:r>
        <w:r w:rsidR="00CA5D70" w:rsidRPr="00DD4652">
          <w:rPr>
            <w:rStyle w:val="Hyperlink"/>
            <w:rFonts w:eastAsia="Times New Roman"/>
            <w:sz w:val="22"/>
          </w:rPr>
          <w:fldChar w:fldCharType="separate"/>
        </w:r>
        <w:r w:rsidR="00CA5D70" w:rsidRPr="00DD4652">
          <w:rPr>
            <w:rStyle w:val="Hyperlink"/>
            <w:rFonts w:eastAsia="Times New Roman"/>
            <w:sz w:val="22"/>
          </w:rPr>
          <w:t>Song et al. (2025)</w:t>
        </w:r>
        <w:r w:rsidR="00CA5D70" w:rsidRPr="00DD4652">
          <w:rPr>
            <w:rStyle w:val="Hyperlink"/>
            <w:rFonts w:eastAsia="Times New Roman"/>
            <w:sz w:val="22"/>
          </w:rPr>
          <w:fldChar w:fldCharType="end"/>
        </w:r>
      </w:hyperlink>
      <w:r w:rsidRPr="00DD4652">
        <w:rPr>
          <w:rFonts w:eastAsia="Times New Roman"/>
          <w:sz w:val="22"/>
        </w:rPr>
        <w:t>, where green lending is generally profit-enhancing</w:t>
      </w:r>
      <w:r w:rsidR="00D231D7" w:rsidRPr="00DD4652">
        <w:rPr>
          <w:rFonts w:eastAsia="Times New Roman"/>
          <w:sz w:val="22"/>
        </w:rPr>
        <w:t>.</w:t>
      </w:r>
      <w:r w:rsidRPr="00DD4652">
        <w:rPr>
          <w:rFonts w:eastAsia="Times New Roman"/>
          <w:sz w:val="22"/>
        </w:rPr>
        <w:t xml:space="preserve"> </w:t>
      </w:r>
      <w:r w:rsidR="00D231D7" w:rsidRPr="00DD4652">
        <w:rPr>
          <w:rFonts w:eastAsia="Times New Roman"/>
          <w:sz w:val="22"/>
        </w:rPr>
        <w:t>T</w:t>
      </w:r>
      <w:r w:rsidRPr="00DD4652">
        <w:rPr>
          <w:rFonts w:eastAsia="Times New Roman"/>
          <w:sz w:val="22"/>
        </w:rPr>
        <w:t>he size-contingent pattern resonates with Indian evidence</w:t>
      </w:r>
      <w:r w:rsidR="00C91935" w:rsidRPr="00DD4652">
        <w:rPr>
          <w:rFonts w:eastAsia="Times New Roman"/>
          <w:sz w:val="22"/>
        </w:rPr>
        <w:t xml:space="preserve"> </w:t>
      </w:r>
      <w:hyperlink w:anchor="_ENREF_22" w:tooltip="Kumari, 2025 #10259" w:history="1">
        <w:r w:rsidR="00C91935" w:rsidRPr="00DD4652">
          <w:rPr>
            <w:rStyle w:val="Hyperlink"/>
            <w:rFonts w:eastAsia="Times New Roman"/>
            <w:sz w:val="22"/>
          </w:rPr>
          <w:fldChar w:fldCharType="begin"/>
        </w:r>
        <w:r w:rsidR="00C91935" w:rsidRPr="00DD4652">
          <w:rPr>
            <w:rStyle w:val="Hyperlink"/>
            <w:rFonts w:eastAsia="Times New Roman"/>
            <w:sz w:val="22"/>
          </w:rPr>
          <w:instrText xml:space="preserve"> ADDIN EN.CITE &lt;EndNote&gt;&lt;Cite AuthorYear="1"&gt;&lt;Author&gt;Kumari&lt;/Author&gt;&lt;Year&gt;2025&lt;/Year&gt;&lt;RecNum&gt;10259&lt;/RecNum&gt;&lt;DisplayText&gt;Kumari and Hiremath (2025)&lt;/DisplayText&gt;&lt;record&gt;&lt;rec-number&gt;10259&lt;/rec-number&gt;&lt;foreign-keys&gt;&lt;key app="EN" db-id="x5ezdazsa9zseqe5esy5zw9wxe95pawf2e0d" timestamp="1784700813"&gt;10259&lt;/key&gt;&lt;/foreign-keys&gt;&lt;ref-type name="Journal Article"&gt;17&lt;/ref-type&gt;&lt;contributors&gt;&lt;authors&gt;&lt;author&gt;Kumari, Jyoti&lt;/author&gt;&lt;author&gt;Hiremath, Gourishankar S&lt;/author&gt;&lt;/authors&gt;&lt;/contributors&gt;&lt;titles&gt;&lt;title&gt;The effect of capital structure on firm performance: Evidence from Indian firms&lt;/title&gt;&lt;secondary-title&gt;African Review of Economics and Finance&lt;/secondary-title&gt;&lt;/titles&gt;&lt;periodical&gt;&lt;full-title&gt;African Review of Economics and Finance&lt;/full-title&gt;&lt;/periodical&gt;&lt;pages&gt;212-232&lt;/pages&gt;&lt;volume&gt;17&lt;/volume&gt;&lt;number&gt;2&lt;/number&gt;&lt;dates&gt;&lt;year&gt;2025&lt;/year&gt;&lt;/dates&gt;&lt;isbn&gt;2042-1478&lt;/isbn&gt;&lt;urls&gt;&lt;/urls&gt;&lt;/record&gt;&lt;/Cite&gt;&lt;/EndNote&gt;</w:instrText>
        </w:r>
        <w:r w:rsidR="00C91935" w:rsidRPr="00DD4652">
          <w:rPr>
            <w:rStyle w:val="Hyperlink"/>
            <w:rFonts w:eastAsia="Times New Roman"/>
            <w:sz w:val="22"/>
          </w:rPr>
          <w:fldChar w:fldCharType="separate"/>
        </w:r>
        <w:r w:rsidR="00C91935" w:rsidRPr="00DD4652">
          <w:rPr>
            <w:rStyle w:val="Hyperlink"/>
            <w:rFonts w:eastAsia="Times New Roman"/>
            <w:sz w:val="22"/>
          </w:rPr>
          <w:t>Kumari and Hiremath (2025)</w:t>
        </w:r>
        <w:r w:rsidR="00C91935" w:rsidRPr="00DD4652">
          <w:rPr>
            <w:rStyle w:val="Hyperlink"/>
            <w:rFonts w:eastAsia="Times New Roman"/>
            <w:sz w:val="22"/>
          </w:rPr>
          <w:fldChar w:fldCharType="end"/>
        </w:r>
      </w:hyperlink>
      <w:r w:rsidRPr="00DD4652">
        <w:rPr>
          <w:rFonts w:eastAsia="Times New Roman"/>
          <w:sz w:val="22"/>
        </w:rPr>
        <w:t xml:space="preserve"> on the salience of bank scale and with </w:t>
      </w:r>
      <w:r w:rsidR="00B3266D" w:rsidRPr="00B3266D">
        <w:rPr>
          <w:rFonts w:eastAsia="Times New Roman"/>
          <w:sz w:val="22"/>
        </w:rPr>
        <w:t>Association of Southeast Asian Nations</w:t>
      </w:r>
      <w:r w:rsidR="00B3266D">
        <w:rPr>
          <w:rFonts w:eastAsia="Times New Roman"/>
          <w:sz w:val="22"/>
        </w:rPr>
        <w:t xml:space="preserve"> (</w:t>
      </w:r>
      <w:r w:rsidRPr="00DD4652">
        <w:rPr>
          <w:rFonts w:eastAsia="Times New Roman"/>
          <w:sz w:val="22"/>
        </w:rPr>
        <w:t>ASEAN</w:t>
      </w:r>
      <w:r w:rsidR="00B3266D">
        <w:rPr>
          <w:rFonts w:eastAsia="Times New Roman"/>
          <w:sz w:val="22"/>
        </w:rPr>
        <w:t>)</w:t>
      </w:r>
      <w:r w:rsidRPr="00DD4652">
        <w:rPr>
          <w:rFonts w:eastAsia="Times New Roman"/>
          <w:sz w:val="22"/>
        </w:rPr>
        <w:t xml:space="preserve"> studies documenting heterogeneous ESG</w:t>
      </w:r>
      <w:r w:rsidR="001B2D79" w:rsidRPr="00DD4652">
        <w:rPr>
          <w:rFonts w:eastAsia="Times New Roman"/>
          <w:sz w:val="22"/>
        </w:rPr>
        <w:t xml:space="preserve"> </w:t>
      </w:r>
      <w:r w:rsidRPr="00DD4652">
        <w:rPr>
          <w:rFonts w:eastAsia="Times New Roman"/>
          <w:sz w:val="22"/>
        </w:rPr>
        <w:t>performance links across institutional settings. The Indonesian case suggests that the profitability payoff of sustainable finance is neither universal nor scale-neutral, but is realized most strongly where green lending represents a meaningful strategic reorientation</w:t>
      </w:r>
      <w:r w:rsidR="001B2D79" w:rsidRPr="00DD4652">
        <w:rPr>
          <w:rFonts w:eastAsia="Times New Roman"/>
          <w:sz w:val="22"/>
        </w:rPr>
        <w:t xml:space="preserve">, </w:t>
      </w:r>
      <w:r w:rsidRPr="00DD4652">
        <w:rPr>
          <w:rFonts w:eastAsia="Times New Roman"/>
          <w:sz w:val="22"/>
        </w:rPr>
        <w:t>most notably among smaller banks.</w:t>
      </w:r>
    </w:p>
    <w:p w14:paraId="5485F1AC" w14:textId="77777777" w:rsidR="00B418AB" w:rsidRPr="00DD4652" w:rsidRDefault="00B418AB" w:rsidP="00917C19">
      <w:pPr>
        <w:spacing w:line="240" w:lineRule="auto"/>
        <w:ind w:firstLine="720"/>
        <w:jc w:val="both"/>
        <w:rPr>
          <w:sz w:val="22"/>
        </w:rPr>
      </w:pPr>
    </w:p>
    <w:p w14:paraId="7160DCD7" w14:textId="7DF0F9CA" w:rsidR="002A62CD" w:rsidRPr="00DD4652" w:rsidRDefault="002A62CD" w:rsidP="00896B3D">
      <w:pPr>
        <w:pStyle w:val="ListParagraph"/>
        <w:numPr>
          <w:ilvl w:val="0"/>
          <w:numId w:val="1"/>
        </w:numPr>
        <w:spacing w:line="240" w:lineRule="auto"/>
        <w:ind w:left="540" w:hanging="540"/>
        <w:rPr>
          <w:sz w:val="22"/>
        </w:rPr>
      </w:pPr>
      <w:r w:rsidRPr="00DD4652">
        <w:rPr>
          <w:rFonts w:eastAsia="Times New Roman"/>
          <w:b/>
          <w:bCs/>
          <w:sz w:val="22"/>
        </w:rPr>
        <w:lastRenderedPageBreak/>
        <w:t>CONCLUSIONS</w:t>
      </w:r>
    </w:p>
    <w:p w14:paraId="2C0508D0" w14:textId="6AE71A84" w:rsidR="002A62CD" w:rsidRPr="00DD4652" w:rsidRDefault="002A62CD" w:rsidP="00896B3D">
      <w:pPr>
        <w:pStyle w:val="ListParagraph"/>
        <w:numPr>
          <w:ilvl w:val="1"/>
          <w:numId w:val="1"/>
        </w:numPr>
        <w:spacing w:line="240" w:lineRule="auto"/>
        <w:ind w:left="540" w:hanging="540"/>
        <w:rPr>
          <w:sz w:val="22"/>
        </w:rPr>
      </w:pPr>
      <w:r w:rsidRPr="00DD4652">
        <w:rPr>
          <w:rFonts w:eastAsia="Times New Roman"/>
          <w:b/>
          <w:bCs/>
          <w:sz w:val="22"/>
        </w:rPr>
        <w:t>Conclusion</w:t>
      </w:r>
    </w:p>
    <w:p w14:paraId="582FCBD5" w14:textId="76AFA6A6" w:rsidR="002A62CD" w:rsidRPr="00DD4652" w:rsidRDefault="001B2D79" w:rsidP="00896B3D">
      <w:pPr>
        <w:tabs>
          <w:tab w:val="left" w:pos="4962"/>
        </w:tabs>
        <w:spacing w:line="240" w:lineRule="auto"/>
        <w:ind w:firstLine="540"/>
        <w:jc w:val="both"/>
        <w:rPr>
          <w:rFonts w:eastAsia="Times New Roman"/>
          <w:sz w:val="22"/>
        </w:rPr>
      </w:pPr>
      <w:r w:rsidRPr="00DD4652">
        <w:rPr>
          <w:rFonts w:eastAsia="Times New Roman"/>
          <w:sz w:val="22"/>
        </w:rPr>
        <w:t>This study examined the effects of green credit and non-performing loans on the profitability (ROA) of Indonesian conventional commercial banks during 2021</w:t>
      </w:r>
      <w:r w:rsidR="00B3266D">
        <w:rPr>
          <w:rFonts w:eastAsia="Times New Roman"/>
          <w:sz w:val="22"/>
        </w:rPr>
        <w:t>-</w:t>
      </w:r>
      <w:r w:rsidRPr="00DD4652">
        <w:rPr>
          <w:rFonts w:eastAsia="Times New Roman"/>
          <w:sz w:val="22"/>
        </w:rPr>
        <w:t>2024, and the moderating role of bank size. Three conclusions emerge. First, green credit has a positive but only marginal direct effect on ROA at the average bank size, indicating modest and non-uniform profitability benefits from sustainable financing. Second, NPL has no significant effect on ROA, reflecting the stable, well-provisioned post-pandemic credit environment. Third, and most importantly, bank size moderates the green credit</w:t>
      </w:r>
      <w:r w:rsidR="00B3266D">
        <w:rPr>
          <w:rFonts w:eastAsia="Times New Roman"/>
          <w:sz w:val="22"/>
        </w:rPr>
        <w:t>-</w:t>
      </w:r>
      <w:r w:rsidRPr="00DD4652">
        <w:rPr>
          <w:rFonts w:eastAsia="Times New Roman"/>
          <w:sz w:val="22"/>
        </w:rPr>
        <w:t>ROA relationship: the profitability benefit of green credit is significant for small banks and diminishes as bank size increases, becoming negligible for the largest banks; bank size does not moderate the NPL</w:t>
      </w:r>
      <w:r w:rsidR="00B3266D">
        <w:rPr>
          <w:rFonts w:eastAsia="Times New Roman"/>
          <w:sz w:val="22"/>
        </w:rPr>
        <w:t>-</w:t>
      </w:r>
      <w:r w:rsidRPr="00DD4652">
        <w:rPr>
          <w:rFonts w:eastAsia="Times New Roman"/>
          <w:sz w:val="22"/>
        </w:rPr>
        <w:t>ROA relationship. The study thus answers its central question in the affirmative</w:t>
      </w:r>
      <w:r w:rsidR="00F817C6" w:rsidRPr="00DD4652">
        <w:rPr>
          <w:rFonts w:eastAsia="Times New Roman"/>
          <w:sz w:val="22"/>
        </w:rPr>
        <w:t xml:space="preserve"> </w:t>
      </w:r>
      <w:r w:rsidR="006E6027" w:rsidRPr="00DD4652">
        <w:rPr>
          <w:rFonts w:eastAsia="Times New Roman"/>
          <w:sz w:val="22"/>
        </w:rPr>
        <w:t xml:space="preserve">- </w:t>
      </w:r>
      <w:r w:rsidRPr="00DD4652">
        <w:rPr>
          <w:rFonts w:eastAsia="Times New Roman"/>
          <w:sz w:val="22"/>
        </w:rPr>
        <w:t>bank size matters for the profitability of green</w:t>
      </w:r>
      <w:r w:rsidR="00B736E2" w:rsidRPr="00DD4652">
        <w:rPr>
          <w:rFonts w:eastAsia="Times New Roman"/>
          <w:sz w:val="22"/>
        </w:rPr>
        <w:t xml:space="preserve"> credit</w:t>
      </w:r>
      <w:r w:rsidR="006E6027" w:rsidRPr="00DD4652">
        <w:rPr>
          <w:rFonts w:eastAsia="Times New Roman"/>
          <w:sz w:val="22"/>
        </w:rPr>
        <w:t xml:space="preserve"> </w:t>
      </w:r>
      <w:r w:rsidRPr="00DD4652">
        <w:rPr>
          <w:rFonts w:eastAsia="Times New Roman"/>
          <w:sz w:val="22"/>
        </w:rPr>
        <w:t>while noting that this moderating effect, though economically meaningful, is only marginally significant under heteroskedasticity-robust inference and should be read as suggestive rather than definitive.</w:t>
      </w:r>
    </w:p>
    <w:p w14:paraId="2941C9E6" w14:textId="77777777" w:rsidR="00B00C45" w:rsidRPr="00DD4652" w:rsidRDefault="00B00C45" w:rsidP="00B00C45">
      <w:pPr>
        <w:pStyle w:val="ListParagraph"/>
        <w:spacing w:line="240" w:lineRule="auto"/>
        <w:ind w:left="0"/>
        <w:rPr>
          <w:rFonts w:eastAsia="Times New Roman"/>
          <w:b/>
          <w:bCs/>
          <w:sz w:val="22"/>
        </w:rPr>
      </w:pPr>
    </w:p>
    <w:p w14:paraId="3CAB9407" w14:textId="69F53B76" w:rsidR="002A62CD" w:rsidRPr="00DD4652" w:rsidRDefault="002A62CD" w:rsidP="00B00C45">
      <w:pPr>
        <w:pStyle w:val="ListParagraph"/>
        <w:numPr>
          <w:ilvl w:val="1"/>
          <w:numId w:val="1"/>
        </w:numPr>
        <w:spacing w:line="240" w:lineRule="auto"/>
        <w:ind w:left="540" w:hanging="540"/>
        <w:rPr>
          <w:sz w:val="22"/>
        </w:rPr>
      </w:pPr>
      <w:r w:rsidRPr="00DD4652">
        <w:rPr>
          <w:rFonts w:eastAsia="Times New Roman"/>
          <w:b/>
          <w:bCs/>
          <w:sz w:val="22"/>
        </w:rPr>
        <w:t>Research Limitations</w:t>
      </w:r>
    </w:p>
    <w:p w14:paraId="2BF93373" w14:textId="03220AAF" w:rsidR="001B2D79" w:rsidRPr="00DD4652" w:rsidRDefault="001B2D79" w:rsidP="00B00C45">
      <w:pPr>
        <w:spacing w:line="240" w:lineRule="auto"/>
        <w:ind w:firstLine="540"/>
        <w:jc w:val="both"/>
        <w:rPr>
          <w:rFonts w:eastAsia="Times New Roman"/>
          <w:sz w:val="22"/>
        </w:rPr>
      </w:pPr>
      <w:r w:rsidRPr="00DD4652">
        <w:rPr>
          <w:rFonts w:eastAsia="Times New Roman"/>
          <w:sz w:val="22"/>
        </w:rPr>
        <w:t>This study has several limitations. First, the observation period (2021</w:t>
      </w:r>
      <w:r w:rsidR="00B3266D">
        <w:rPr>
          <w:rFonts w:eastAsia="Times New Roman"/>
          <w:sz w:val="22"/>
        </w:rPr>
        <w:t>-</w:t>
      </w:r>
      <w:r w:rsidRPr="00DD4652">
        <w:rPr>
          <w:rFonts w:eastAsia="Times New Roman"/>
          <w:sz w:val="22"/>
        </w:rPr>
        <w:t>2024) is short and coincides with atypical post-pandemic conditions, limiting the capture of long-term dynamics. Second, the analysis is confined to green credit, NPL, and bank size, omitting other potential determinants of ROA. Third, the key moderating effect is significant under conventional standard errors but only marginal under robust inference, so the evidence for size-based moderation is suggestive rather than conclusive. Fourth, the study is limited to Indonesian conventional commercial banks, constraining generalizability.</w:t>
      </w:r>
    </w:p>
    <w:p w14:paraId="09ED8B68" w14:textId="77777777" w:rsidR="00B00C45" w:rsidRPr="00DD4652" w:rsidRDefault="00B00C45" w:rsidP="00917C19">
      <w:pPr>
        <w:spacing w:line="240" w:lineRule="auto"/>
        <w:ind w:firstLine="720"/>
        <w:jc w:val="both"/>
        <w:rPr>
          <w:rFonts w:eastAsia="Times New Roman"/>
          <w:sz w:val="22"/>
        </w:rPr>
      </w:pPr>
    </w:p>
    <w:p w14:paraId="3AEDFBC6" w14:textId="6DB58780" w:rsidR="002A62CD" w:rsidRPr="00DD4652" w:rsidRDefault="002A62CD" w:rsidP="00B00C45">
      <w:pPr>
        <w:pStyle w:val="ListParagraph"/>
        <w:numPr>
          <w:ilvl w:val="1"/>
          <w:numId w:val="1"/>
        </w:numPr>
        <w:spacing w:line="240" w:lineRule="auto"/>
        <w:ind w:left="540" w:hanging="540"/>
        <w:jc w:val="both"/>
        <w:rPr>
          <w:sz w:val="22"/>
        </w:rPr>
      </w:pPr>
      <w:r w:rsidRPr="00DD4652">
        <w:rPr>
          <w:rFonts w:eastAsia="Times New Roman"/>
          <w:b/>
          <w:bCs/>
          <w:sz w:val="22"/>
        </w:rPr>
        <w:t>Suggestions and Directions for Future Research</w:t>
      </w:r>
    </w:p>
    <w:p w14:paraId="56E0AB7A" w14:textId="6FAC7176" w:rsidR="002A62CD" w:rsidRPr="00DD4652" w:rsidRDefault="0042183D" w:rsidP="00B00C45">
      <w:pPr>
        <w:spacing w:line="240" w:lineRule="auto"/>
        <w:ind w:firstLine="540"/>
        <w:jc w:val="both"/>
        <w:rPr>
          <w:rFonts w:eastAsia="Times New Roman"/>
          <w:sz w:val="22"/>
        </w:rPr>
      </w:pPr>
      <w:r w:rsidRPr="00DD4652">
        <w:rPr>
          <w:rFonts w:eastAsia="Times New Roman"/>
          <w:sz w:val="22"/>
        </w:rPr>
        <w:t>Future research should address these limitations concretely. First, dynamic panel GMM estimation should be employed to account for potential endogeneity and the persistence of profitability. Second, macroeconomic controls inflation, GDP growth, and the BI policy rate should be incorporated to isolate bank-level effects from the macro-financial cycle. Third, a sectoral breakdown of green credit (renewable energy, sustainable agriculture, green transport) would identify which categories drive profitability. Fourth, textual analysis of sustainability reports could construct ESG-maturity scores, providing a richer moderator than asset size alone. Finally, extending the sample to other ASEAN economies would test the external validity of the size-contingent pattern documented here</w:t>
      </w:r>
      <w:r w:rsidR="002A62CD" w:rsidRPr="00DD4652">
        <w:rPr>
          <w:rFonts w:eastAsia="Times New Roman"/>
          <w:sz w:val="22"/>
        </w:rPr>
        <w:t>.</w:t>
      </w:r>
    </w:p>
    <w:p w14:paraId="2476EC66" w14:textId="77777777" w:rsidR="00B00C45" w:rsidRPr="00DD4652" w:rsidRDefault="00B00C45" w:rsidP="00B00C45">
      <w:pPr>
        <w:spacing w:line="240" w:lineRule="auto"/>
        <w:ind w:firstLine="540"/>
        <w:jc w:val="both"/>
        <w:rPr>
          <w:sz w:val="22"/>
        </w:rPr>
      </w:pPr>
    </w:p>
    <w:p w14:paraId="041F4B47" w14:textId="77777777" w:rsidR="002A62CD" w:rsidRPr="00DD4652" w:rsidRDefault="002A62CD" w:rsidP="00917C19">
      <w:pPr>
        <w:spacing w:line="240" w:lineRule="auto"/>
        <w:rPr>
          <w:sz w:val="22"/>
        </w:rPr>
      </w:pPr>
      <w:r w:rsidRPr="00DD4652">
        <w:rPr>
          <w:rFonts w:eastAsia="Times New Roman"/>
          <w:b/>
          <w:bCs/>
          <w:sz w:val="22"/>
        </w:rPr>
        <w:t>ACKNOWLEDGEMENT</w:t>
      </w:r>
    </w:p>
    <w:p w14:paraId="13059F8F" w14:textId="482B60D2" w:rsidR="006E6027" w:rsidRPr="00DD4652" w:rsidRDefault="002A62CD" w:rsidP="00B00C45">
      <w:pPr>
        <w:spacing w:line="240" w:lineRule="auto"/>
        <w:ind w:firstLine="540"/>
        <w:jc w:val="both"/>
        <w:rPr>
          <w:sz w:val="22"/>
        </w:rPr>
      </w:pPr>
      <w:r w:rsidRPr="00DD4652">
        <w:rPr>
          <w:rFonts w:eastAsia="Times New Roman"/>
          <w:sz w:val="22"/>
        </w:rPr>
        <w:t>The authors would like to express their sincere gratitude to all parties who have provided support, guidance, and contributions in the completion of this research, including the academic supervisors, colleagues, and institutions that have provided access to the data and resources required for this study.</w:t>
      </w:r>
      <w:r w:rsidR="00896B3D" w:rsidRPr="00DD4652">
        <w:rPr>
          <w:rFonts w:eastAsia="Times New Roman"/>
          <w:sz w:val="22"/>
        </w:rPr>
        <w:t xml:space="preserve"> </w:t>
      </w:r>
      <w:r w:rsidR="006E6027" w:rsidRPr="00DD4652">
        <w:rPr>
          <w:sz w:val="22"/>
        </w:rPr>
        <w:t>The data supporting the findings of this study were obtained from publicly available audited annual financial statements and sustainability reports accessible through the official website of the Indonesia Stock Exchange (www.idx.co.id) and the respective banks' official websites. Derived data are available from the corresponding author upon reasonable request.</w:t>
      </w:r>
      <w:r w:rsidR="00FC45DE" w:rsidRPr="00DD4652">
        <w:rPr>
          <w:sz w:val="22"/>
        </w:rPr>
        <w:t xml:space="preserve"> </w:t>
      </w:r>
      <w:r w:rsidR="006E6027" w:rsidRPr="00DD4652">
        <w:rPr>
          <w:sz w:val="22"/>
        </w:rPr>
        <w:t>The authors declare that they have no known competing financial interests or personal relationships that could have appeared to influence the work reported in this paper</w:t>
      </w:r>
      <w:r w:rsidR="00FC45DE" w:rsidRPr="00DD4652">
        <w:rPr>
          <w:sz w:val="22"/>
        </w:rPr>
        <w:t>.</w:t>
      </w:r>
    </w:p>
    <w:p w14:paraId="6C3DC5CC" w14:textId="77777777" w:rsidR="00D231D7" w:rsidRPr="00DD4652" w:rsidRDefault="00D231D7" w:rsidP="00D231D7">
      <w:pPr>
        <w:spacing w:line="240" w:lineRule="auto"/>
        <w:jc w:val="both"/>
        <w:rPr>
          <w:sz w:val="22"/>
        </w:rPr>
      </w:pPr>
    </w:p>
    <w:p w14:paraId="4F4FDCA1" w14:textId="52204911" w:rsidR="00D231D7" w:rsidRPr="00DD4652" w:rsidRDefault="00D231D7" w:rsidP="00D231D7">
      <w:pPr>
        <w:spacing w:line="240" w:lineRule="auto"/>
        <w:jc w:val="both"/>
        <w:rPr>
          <w:rFonts w:eastAsia="Times New Roman"/>
          <w:b/>
          <w:bCs/>
          <w:sz w:val="22"/>
        </w:rPr>
      </w:pPr>
      <w:r w:rsidRPr="00DD4652">
        <w:rPr>
          <w:rFonts w:eastAsia="Times New Roman"/>
          <w:b/>
          <w:bCs/>
          <w:sz w:val="22"/>
        </w:rPr>
        <w:t>AUTHOR CONTRIBUTIONS</w:t>
      </w:r>
    </w:p>
    <w:p w14:paraId="7EEEFAD4" w14:textId="3A043AC8" w:rsidR="00D231D7" w:rsidRPr="00DD4652" w:rsidRDefault="00D231D7" w:rsidP="00D231D7">
      <w:pPr>
        <w:spacing w:line="240" w:lineRule="auto"/>
        <w:ind w:firstLine="540"/>
        <w:jc w:val="both"/>
        <w:rPr>
          <w:rFonts w:eastAsia="Times New Roman"/>
          <w:sz w:val="22"/>
        </w:rPr>
      </w:pPr>
      <w:r w:rsidRPr="00DD4652">
        <w:rPr>
          <w:rFonts w:eastAsia="Times New Roman"/>
          <w:sz w:val="22"/>
        </w:rPr>
        <w:t>ED contributed to conceptualization, methodology, data analysis, and manuscript preparation. FI contributed to supervision, validation, and critical revision of the manuscript. DA contributed to methodology and literature review. NAR and DAP contributed to data collection, analysis, and manuscript drafting. ANP contributed to data processing and manuscript review. All authors have read and approved the final manuscript.</w:t>
      </w:r>
    </w:p>
    <w:p w14:paraId="5E8A877D" w14:textId="77777777" w:rsidR="006E6027" w:rsidRDefault="006E6027" w:rsidP="00917C19">
      <w:pPr>
        <w:spacing w:line="240" w:lineRule="auto"/>
        <w:ind w:firstLine="720"/>
        <w:jc w:val="both"/>
        <w:rPr>
          <w:sz w:val="22"/>
        </w:rPr>
      </w:pPr>
    </w:p>
    <w:p w14:paraId="5A9CB666" w14:textId="77777777" w:rsidR="00686399" w:rsidRPr="00DD4652" w:rsidRDefault="00686399" w:rsidP="00917C19">
      <w:pPr>
        <w:spacing w:line="240" w:lineRule="auto"/>
        <w:ind w:firstLine="720"/>
        <w:jc w:val="both"/>
        <w:rPr>
          <w:sz w:val="22"/>
        </w:rPr>
      </w:pPr>
    </w:p>
    <w:p w14:paraId="1133350E" w14:textId="1A631B7A" w:rsidR="0051042F" w:rsidRPr="00DD4652" w:rsidRDefault="002A62CD" w:rsidP="0051042F">
      <w:pPr>
        <w:spacing w:line="240" w:lineRule="auto"/>
        <w:rPr>
          <w:rFonts w:eastAsia="Times New Roman"/>
          <w:b/>
          <w:bCs/>
          <w:sz w:val="22"/>
        </w:rPr>
      </w:pPr>
      <w:r w:rsidRPr="00DD4652">
        <w:rPr>
          <w:rFonts w:eastAsia="Times New Roman"/>
          <w:b/>
          <w:bCs/>
          <w:sz w:val="22"/>
        </w:rPr>
        <w:lastRenderedPageBreak/>
        <w:t>REFERENCES</w:t>
      </w:r>
      <w:r w:rsidR="000343D7" w:rsidRPr="00DD4652">
        <w:rPr>
          <w:sz w:val="22"/>
        </w:rPr>
        <w:fldChar w:fldCharType="begin"/>
      </w:r>
      <w:r w:rsidR="000343D7" w:rsidRPr="00DD4652">
        <w:rPr>
          <w:sz w:val="22"/>
        </w:rPr>
        <w:instrText xml:space="preserve"> ADDIN EN.REFLIST </w:instrText>
      </w:r>
      <w:r w:rsidR="000343D7" w:rsidRPr="00DD4652">
        <w:rPr>
          <w:sz w:val="22"/>
        </w:rPr>
        <w:fldChar w:fldCharType="separate"/>
      </w:r>
    </w:p>
    <w:p w14:paraId="3ED1E7C9" w14:textId="00184223" w:rsidR="0051042F" w:rsidRPr="00DD4652" w:rsidRDefault="0051042F" w:rsidP="0051042F">
      <w:pPr>
        <w:pStyle w:val="EndNoteBibliography"/>
        <w:ind w:left="720" w:hanging="720"/>
        <w:rPr>
          <w:noProof w:val="0"/>
          <w:sz w:val="22"/>
        </w:rPr>
      </w:pPr>
      <w:bookmarkStart w:id="1" w:name="_ENREF_1"/>
      <w:r w:rsidRPr="00DD4652">
        <w:rPr>
          <w:noProof w:val="0"/>
          <w:sz w:val="22"/>
        </w:rPr>
        <w:t xml:space="preserve">Akomea-Frimpong, I., Adeabah, D., Ofosu, D., &amp; Tenakwah, E. J. (2022). A review of studies on green finance of banks, research gaps and future directions. </w:t>
      </w:r>
      <w:r w:rsidRPr="00DD4652">
        <w:rPr>
          <w:i/>
          <w:noProof w:val="0"/>
          <w:sz w:val="22"/>
        </w:rPr>
        <w:t>Journal of Sustainable Finance &amp; Investment, 12</w:t>
      </w:r>
      <w:r w:rsidRPr="00DD4652">
        <w:rPr>
          <w:noProof w:val="0"/>
          <w:sz w:val="22"/>
        </w:rPr>
        <w:t>(4), 1241-1264. doi:</w:t>
      </w:r>
      <w:hyperlink r:id="rId15" w:history="1">
        <w:r w:rsidRPr="00DD4652">
          <w:rPr>
            <w:rStyle w:val="Hyperlink"/>
            <w:noProof w:val="0"/>
            <w:sz w:val="22"/>
          </w:rPr>
          <w:t>https://doi.org/10.1080/20430795.2020.1870202</w:t>
        </w:r>
        <w:bookmarkEnd w:id="1"/>
      </w:hyperlink>
    </w:p>
    <w:p w14:paraId="7C669270" w14:textId="7612CFC1" w:rsidR="0051042F" w:rsidRPr="00DD4652" w:rsidRDefault="0051042F" w:rsidP="0051042F">
      <w:pPr>
        <w:pStyle w:val="EndNoteBibliography"/>
        <w:ind w:left="720" w:hanging="720"/>
        <w:rPr>
          <w:noProof w:val="0"/>
          <w:sz w:val="22"/>
        </w:rPr>
      </w:pPr>
      <w:bookmarkStart w:id="2" w:name="_ENREF_2"/>
      <w:r w:rsidRPr="00DD4652">
        <w:rPr>
          <w:noProof w:val="0"/>
          <w:sz w:val="22"/>
        </w:rPr>
        <w:t xml:space="preserve">Andaiyani, S., Muthia, F., &amp; Novriansa, A. (2023). Green credit and bank performance in Indonesia. </w:t>
      </w:r>
      <w:r w:rsidRPr="00DD4652">
        <w:rPr>
          <w:i/>
          <w:noProof w:val="0"/>
          <w:sz w:val="22"/>
        </w:rPr>
        <w:t>Diponegoro International Journal of Business, 6</w:t>
      </w:r>
      <w:r w:rsidRPr="00DD4652">
        <w:rPr>
          <w:noProof w:val="0"/>
          <w:sz w:val="22"/>
        </w:rPr>
        <w:t>(1), 50-56. doi:</w:t>
      </w:r>
      <w:hyperlink r:id="rId16" w:history="1">
        <w:r w:rsidRPr="00DD4652">
          <w:rPr>
            <w:rStyle w:val="Hyperlink"/>
            <w:noProof w:val="0"/>
            <w:sz w:val="22"/>
          </w:rPr>
          <w:t>https://doi.org/10.14710/dijb.6.1.2023.50-56</w:t>
        </w:r>
        <w:bookmarkEnd w:id="2"/>
      </w:hyperlink>
    </w:p>
    <w:p w14:paraId="7F4FA041" w14:textId="775A6090" w:rsidR="0051042F" w:rsidRPr="00DD4652" w:rsidRDefault="0051042F" w:rsidP="0051042F">
      <w:pPr>
        <w:pStyle w:val="EndNoteBibliography"/>
        <w:ind w:left="720" w:hanging="720"/>
        <w:rPr>
          <w:noProof w:val="0"/>
          <w:sz w:val="22"/>
        </w:rPr>
      </w:pPr>
      <w:bookmarkStart w:id="3" w:name="_ENREF_3"/>
      <w:r w:rsidRPr="00DD4652">
        <w:rPr>
          <w:noProof w:val="0"/>
          <w:sz w:val="22"/>
        </w:rPr>
        <w:t xml:space="preserve">Anh Tu, C., Sarker, T., &amp; Rasoulinezhad, E. (2020). Factors influencing the green bond market expansion: Evidence from a multi-dimensional analysis. </w:t>
      </w:r>
      <w:r w:rsidRPr="00DD4652">
        <w:rPr>
          <w:i/>
          <w:noProof w:val="0"/>
          <w:sz w:val="22"/>
        </w:rPr>
        <w:t>Journal of Risk and Financial Management, 13</w:t>
      </w:r>
      <w:r w:rsidRPr="00DD4652">
        <w:rPr>
          <w:noProof w:val="0"/>
          <w:sz w:val="22"/>
        </w:rPr>
        <w:t>(6), 126. doi:</w:t>
      </w:r>
      <w:hyperlink r:id="rId17" w:history="1">
        <w:r w:rsidRPr="00DD4652">
          <w:rPr>
            <w:rStyle w:val="Hyperlink"/>
            <w:noProof w:val="0"/>
            <w:sz w:val="22"/>
          </w:rPr>
          <w:t>https://doi.org/10.3390/jrfm13060126</w:t>
        </w:r>
        <w:bookmarkEnd w:id="3"/>
      </w:hyperlink>
    </w:p>
    <w:p w14:paraId="7D5D424D" w14:textId="7E68B097" w:rsidR="0051042F" w:rsidRPr="00DD4652" w:rsidRDefault="0051042F" w:rsidP="0051042F">
      <w:pPr>
        <w:pStyle w:val="EndNoteBibliography"/>
        <w:ind w:left="720" w:hanging="720"/>
        <w:rPr>
          <w:noProof w:val="0"/>
          <w:sz w:val="22"/>
        </w:rPr>
      </w:pPr>
      <w:bookmarkStart w:id="4" w:name="_ENREF_4"/>
      <w:r w:rsidRPr="00DD4652">
        <w:rPr>
          <w:noProof w:val="0"/>
          <w:sz w:val="22"/>
        </w:rPr>
        <w:t xml:space="preserve">Arhinful, R., Mensah, L., Gyamfi, B. A., &amp; Obeng, H. A. (2025). The impact of non-performing loans on bank growth: The moderating roles of bank size and capital adequacy ratio evidence from US banks. </w:t>
      </w:r>
      <w:r w:rsidRPr="00DD4652">
        <w:rPr>
          <w:i/>
          <w:noProof w:val="0"/>
          <w:sz w:val="22"/>
        </w:rPr>
        <w:t>International Journal of Financial Studies, 13</w:t>
      </w:r>
      <w:r w:rsidRPr="00DD4652">
        <w:rPr>
          <w:noProof w:val="0"/>
          <w:sz w:val="22"/>
        </w:rPr>
        <w:t>(3), 165. doi:</w:t>
      </w:r>
      <w:hyperlink r:id="rId18" w:history="1">
        <w:r w:rsidRPr="00DD4652">
          <w:rPr>
            <w:rStyle w:val="Hyperlink"/>
            <w:noProof w:val="0"/>
            <w:sz w:val="22"/>
          </w:rPr>
          <w:t>https://doi.org/10.3390/ijfs13030165</w:t>
        </w:r>
        <w:bookmarkEnd w:id="4"/>
      </w:hyperlink>
    </w:p>
    <w:p w14:paraId="2A2CFD76" w14:textId="5AEDBDE5" w:rsidR="0051042F" w:rsidRPr="00DD4652" w:rsidRDefault="0051042F" w:rsidP="0051042F">
      <w:pPr>
        <w:pStyle w:val="EndNoteBibliography"/>
        <w:ind w:left="720" w:hanging="720"/>
        <w:rPr>
          <w:noProof w:val="0"/>
          <w:sz w:val="22"/>
        </w:rPr>
      </w:pPr>
      <w:bookmarkStart w:id="5" w:name="_ENREF_5"/>
      <w:r w:rsidRPr="00DD4652">
        <w:rPr>
          <w:noProof w:val="0"/>
          <w:sz w:val="22"/>
        </w:rPr>
        <w:t xml:space="preserve">Aydoğmuş, M., Gülay, G., &amp; Ergun, K. (2022). Impact of ESG performance on firm value and profitability. </w:t>
      </w:r>
      <w:r w:rsidRPr="00DD4652">
        <w:rPr>
          <w:i/>
          <w:noProof w:val="0"/>
          <w:sz w:val="22"/>
        </w:rPr>
        <w:t>Borsa Istanbul Review, 22</w:t>
      </w:r>
      <w:r w:rsidRPr="00DD4652">
        <w:rPr>
          <w:noProof w:val="0"/>
          <w:sz w:val="22"/>
        </w:rPr>
        <w:t>, 119-127. doi:</w:t>
      </w:r>
      <w:hyperlink r:id="rId19" w:history="1">
        <w:r w:rsidRPr="00DD4652">
          <w:rPr>
            <w:rStyle w:val="Hyperlink"/>
            <w:noProof w:val="0"/>
            <w:sz w:val="22"/>
          </w:rPr>
          <w:t>https://doi.org/10.1016/j.bir.2022.11.006</w:t>
        </w:r>
        <w:bookmarkEnd w:id="5"/>
      </w:hyperlink>
    </w:p>
    <w:p w14:paraId="296FA959" w14:textId="1822F860" w:rsidR="0051042F" w:rsidRPr="00DD4652" w:rsidRDefault="0051042F" w:rsidP="0051042F">
      <w:pPr>
        <w:pStyle w:val="EndNoteBibliography"/>
        <w:ind w:left="720" w:hanging="720"/>
        <w:rPr>
          <w:noProof w:val="0"/>
          <w:sz w:val="22"/>
        </w:rPr>
      </w:pPr>
      <w:bookmarkStart w:id="6" w:name="_ENREF_6"/>
      <w:r w:rsidRPr="00DD4652">
        <w:rPr>
          <w:noProof w:val="0"/>
          <w:sz w:val="22"/>
        </w:rPr>
        <w:t xml:space="preserve">Barney, J. (1991). Firm resources and sustained competitive advantage. </w:t>
      </w:r>
      <w:r w:rsidRPr="00DD4652">
        <w:rPr>
          <w:i/>
          <w:noProof w:val="0"/>
          <w:sz w:val="22"/>
        </w:rPr>
        <w:t>Journal of Management, 17</w:t>
      </w:r>
      <w:r w:rsidRPr="00DD4652">
        <w:rPr>
          <w:noProof w:val="0"/>
          <w:sz w:val="22"/>
        </w:rPr>
        <w:t>(1), 99-120. doi:</w:t>
      </w:r>
      <w:hyperlink r:id="rId20" w:history="1">
        <w:r w:rsidRPr="00DD4652">
          <w:rPr>
            <w:rStyle w:val="Hyperlink"/>
            <w:noProof w:val="0"/>
            <w:sz w:val="22"/>
          </w:rPr>
          <w:t>https://doi.org/10.1177/014920639101700108</w:t>
        </w:r>
        <w:bookmarkEnd w:id="6"/>
      </w:hyperlink>
    </w:p>
    <w:p w14:paraId="1FFE112C" w14:textId="4982F9AB" w:rsidR="0051042F" w:rsidRPr="00DD4652" w:rsidRDefault="0051042F" w:rsidP="0051042F">
      <w:pPr>
        <w:pStyle w:val="EndNoteBibliography"/>
        <w:ind w:left="720" w:hanging="720"/>
        <w:rPr>
          <w:noProof w:val="0"/>
          <w:sz w:val="22"/>
        </w:rPr>
      </w:pPr>
      <w:bookmarkStart w:id="7" w:name="_ENREF_7"/>
      <w:r w:rsidRPr="00DD4652">
        <w:rPr>
          <w:noProof w:val="0"/>
          <w:sz w:val="22"/>
        </w:rPr>
        <w:t>Baron, R. M., &amp; Kenny, D. A. (1986). The moderator</w:t>
      </w:r>
      <w:r w:rsidR="00B3266D">
        <w:rPr>
          <w:noProof w:val="0"/>
          <w:sz w:val="22"/>
        </w:rPr>
        <w:t>-</w:t>
      </w:r>
      <w:r w:rsidRPr="00DD4652">
        <w:rPr>
          <w:noProof w:val="0"/>
          <w:sz w:val="22"/>
        </w:rPr>
        <w:t xml:space="preserve">mediator variable distinction in social psychological research: Conceptual, strategic, and statistical considerations. </w:t>
      </w:r>
      <w:r w:rsidRPr="00DD4652">
        <w:rPr>
          <w:i/>
          <w:noProof w:val="0"/>
          <w:sz w:val="22"/>
        </w:rPr>
        <w:t>Journal of Personality and Social Psychology, 51</w:t>
      </w:r>
      <w:r w:rsidRPr="00DD4652">
        <w:rPr>
          <w:noProof w:val="0"/>
          <w:sz w:val="22"/>
        </w:rPr>
        <w:t>(6), 1173. doi:</w:t>
      </w:r>
      <w:hyperlink r:id="rId21" w:history="1">
        <w:r w:rsidRPr="00DD4652">
          <w:rPr>
            <w:rStyle w:val="Hyperlink"/>
            <w:noProof w:val="0"/>
            <w:sz w:val="22"/>
          </w:rPr>
          <w:t>https://doi.org/10.1037//0022-3514.51.6.1173</w:t>
        </w:r>
        <w:bookmarkEnd w:id="7"/>
      </w:hyperlink>
    </w:p>
    <w:p w14:paraId="0C25764D" w14:textId="7BE70D91" w:rsidR="0051042F" w:rsidRPr="00DD4652" w:rsidRDefault="0051042F" w:rsidP="0051042F">
      <w:pPr>
        <w:pStyle w:val="EndNoteBibliography"/>
        <w:ind w:left="720" w:hanging="720"/>
        <w:rPr>
          <w:noProof w:val="0"/>
          <w:sz w:val="22"/>
        </w:rPr>
      </w:pPr>
      <w:bookmarkStart w:id="8" w:name="_ENREF_8"/>
      <w:r w:rsidRPr="00DD4652">
        <w:rPr>
          <w:noProof w:val="0"/>
          <w:sz w:val="22"/>
        </w:rPr>
        <w:t xml:space="preserve">Berger, A. N., &amp; DeYoung, R. (1997). Problem loans and cost efficiency in commercial banks. </w:t>
      </w:r>
      <w:r w:rsidRPr="00DD4652">
        <w:rPr>
          <w:i/>
          <w:noProof w:val="0"/>
          <w:sz w:val="22"/>
        </w:rPr>
        <w:t>Journal of Banking &amp; finance, 21</w:t>
      </w:r>
      <w:r w:rsidRPr="00DD4652">
        <w:rPr>
          <w:noProof w:val="0"/>
          <w:sz w:val="22"/>
        </w:rPr>
        <w:t>(6), 849-870. doi:</w:t>
      </w:r>
      <w:hyperlink r:id="rId22" w:history="1">
        <w:r w:rsidRPr="00DD4652">
          <w:rPr>
            <w:rStyle w:val="Hyperlink"/>
            <w:noProof w:val="0"/>
            <w:sz w:val="22"/>
          </w:rPr>
          <w:t>https://doi.org/10.1016/S0378-4266(97)00003-4</w:t>
        </w:r>
        <w:bookmarkEnd w:id="8"/>
      </w:hyperlink>
    </w:p>
    <w:p w14:paraId="1696357A" w14:textId="11A08708" w:rsidR="0051042F" w:rsidRPr="00DD4652" w:rsidRDefault="0051042F" w:rsidP="0051042F">
      <w:pPr>
        <w:pStyle w:val="EndNoteBibliography"/>
        <w:ind w:left="720" w:hanging="720"/>
        <w:rPr>
          <w:noProof w:val="0"/>
          <w:sz w:val="22"/>
        </w:rPr>
      </w:pPr>
      <w:bookmarkStart w:id="9" w:name="_ENREF_9"/>
      <w:r w:rsidRPr="00DD4652">
        <w:rPr>
          <w:noProof w:val="0"/>
          <w:sz w:val="22"/>
        </w:rPr>
        <w:t xml:space="preserve">Buallay, A. (2019). Is sustainability reporting (ESG) associated with performance? Evidence from the European banking sector. </w:t>
      </w:r>
      <w:r w:rsidRPr="00DD4652">
        <w:rPr>
          <w:i/>
          <w:noProof w:val="0"/>
          <w:sz w:val="22"/>
        </w:rPr>
        <w:t>Management of Environmental Quality: An International Journal, 30</w:t>
      </w:r>
      <w:r w:rsidRPr="00DD4652">
        <w:rPr>
          <w:noProof w:val="0"/>
          <w:sz w:val="22"/>
        </w:rPr>
        <w:t>(1), 98-115. doi:</w:t>
      </w:r>
      <w:hyperlink r:id="rId23" w:history="1">
        <w:r w:rsidRPr="00DD4652">
          <w:rPr>
            <w:rStyle w:val="Hyperlink"/>
            <w:noProof w:val="0"/>
            <w:sz w:val="22"/>
          </w:rPr>
          <w:t>https://doi.org/10.1108/MEQ-12-2017-0149</w:t>
        </w:r>
        <w:bookmarkEnd w:id="9"/>
      </w:hyperlink>
    </w:p>
    <w:p w14:paraId="1A7F3D7C" w14:textId="7304A312" w:rsidR="0051042F" w:rsidRPr="00DD4652" w:rsidRDefault="0051042F" w:rsidP="0051042F">
      <w:pPr>
        <w:pStyle w:val="EndNoteBibliography"/>
        <w:ind w:left="720" w:hanging="720"/>
        <w:rPr>
          <w:noProof w:val="0"/>
          <w:sz w:val="22"/>
        </w:rPr>
      </w:pPr>
      <w:bookmarkStart w:id="10" w:name="_ENREF_10"/>
      <w:r w:rsidRPr="00DD4652">
        <w:rPr>
          <w:noProof w:val="0"/>
          <w:sz w:val="22"/>
        </w:rPr>
        <w:t xml:space="preserve">Buallay, A., Fadel, S. M., Alajmi, J., &amp; Saudagaran, S. (2021). Sustainability reporting and bank performance after financial crisis: Evidence from developed and developing countries. </w:t>
      </w:r>
      <w:r w:rsidRPr="00DD4652">
        <w:rPr>
          <w:i/>
          <w:noProof w:val="0"/>
          <w:sz w:val="22"/>
        </w:rPr>
        <w:t>Competitiveness Review: An International Business Journal, 31</w:t>
      </w:r>
      <w:r w:rsidRPr="00DD4652">
        <w:rPr>
          <w:noProof w:val="0"/>
          <w:sz w:val="22"/>
        </w:rPr>
        <w:t>(4), 747-770. doi:</w:t>
      </w:r>
      <w:hyperlink r:id="rId24" w:history="1">
        <w:r w:rsidRPr="00DD4652">
          <w:rPr>
            <w:rStyle w:val="Hyperlink"/>
            <w:noProof w:val="0"/>
            <w:sz w:val="22"/>
          </w:rPr>
          <w:t>https://doi.org/10.1108/CR-04-2019-0040</w:t>
        </w:r>
        <w:bookmarkEnd w:id="10"/>
      </w:hyperlink>
    </w:p>
    <w:p w14:paraId="5EE6A7C4" w14:textId="10592EAF" w:rsidR="0051042F" w:rsidRPr="00DD4652" w:rsidRDefault="0051042F" w:rsidP="0051042F">
      <w:pPr>
        <w:pStyle w:val="EndNoteBibliography"/>
        <w:ind w:left="720" w:hanging="720"/>
        <w:rPr>
          <w:noProof w:val="0"/>
          <w:sz w:val="22"/>
        </w:rPr>
      </w:pPr>
      <w:bookmarkStart w:id="11" w:name="_ENREF_11"/>
      <w:r w:rsidRPr="00DD4652">
        <w:rPr>
          <w:noProof w:val="0"/>
          <w:sz w:val="22"/>
        </w:rPr>
        <w:t xml:space="preserve">Cui, Y., Geobey, S., Weber, O., &amp; Lin, H. (2018). The impact of green lending on credit risk in China. </w:t>
      </w:r>
      <w:r w:rsidRPr="00DD4652">
        <w:rPr>
          <w:i/>
          <w:noProof w:val="0"/>
          <w:sz w:val="22"/>
        </w:rPr>
        <w:t>Sustainability, 10</w:t>
      </w:r>
      <w:r w:rsidRPr="00DD4652">
        <w:rPr>
          <w:noProof w:val="0"/>
          <w:sz w:val="22"/>
        </w:rPr>
        <w:t>(6), 2008. doi:</w:t>
      </w:r>
      <w:hyperlink r:id="rId25" w:history="1">
        <w:r w:rsidRPr="00DD4652">
          <w:rPr>
            <w:rStyle w:val="Hyperlink"/>
            <w:noProof w:val="0"/>
            <w:sz w:val="22"/>
          </w:rPr>
          <w:t>https://doi.org/10.3390/su10062008</w:t>
        </w:r>
        <w:bookmarkEnd w:id="11"/>
      </w:hyperlink>
    </w:p>
    <w:p w14:paraId="671F6A72" w14:textId="153F1793" w:rsidR="0051042F" w:rsidRPr="00DD4652" w:rsidRDefault="0051042F" w:rsidP="0051042F">
      <w:pPr>
        <w:pStyle w:val="EndNoteBibliography"/>
        <w:ind w:left="720" w:hanging="720"/>
        <w:rPr>
          <w:noProof w:val="0"/>
          <w:sz w:val="22"/>
        </w:rPr>
      </w:pPr>
      <w:bookmarkStart w:id="12" w:name="_ENREF_12"/>
      <w:r w:rsidRPr="00DD4652">
        <w:rPr>
          <w:noProof w:val="0"/>
          <w:sz w:val="22"/>
        </w:rPr>
        <w:t xml:space="preserve">Ekinci, R., &amp; Poyraz, G. (2019). The effect of credit risk on financial performance of deposit banks in Turkey. </w:t>
      </w:r>
      <w:r w:rsidRPr="00DD4652">
        <w:rPr>
          <w:i/>
          <w:noProof w:val="0"/>
          <w:sz w:val="22"/>
        </w:rPr>
        <w:t>Procedia Computer Science, 158</w:t>
      </w:r>
      <w:r w:rsidRPr="00DD4652">
        <w:rPr>
          <w:noProof w:val="0"/>
          <w:sz w:val="22"/>
        </w:rPr>
        <w:t>, 979-987. doi:</w:t>
      </w:r>
      <w:hyperlink r:id="rId26" w:history="1">
        <w:r w:rsidRPr="00DD4652">
          <w:rPr>
            <w:rStyle w:val="Hyperlink"/>
            <w:noProof w:val="0"/>
            <w:sz w:val="22"/>
          </w:rPr>
          <w:t>https://doi.org/10.1016/j.procs.2019.09.139</w:t>
        </w:r>
        <w:bookmarkEnd w:id="12"/>
      </w:hyperlink>
    </w:p>
    <w:p w14:paraId="7E027A7B" w14:textId="2FBECF8C" w:rsidR="0051042F" w:rsidRPr="00DD4652" w:rsidRDefault="0051042F" w:rsidP="0051042F">
      <w:pPr>
        <w:pStyle w:val="EndNoteBibliography"/>
        <w:ind w:left="720" w:hanging="720"/>
        <w:rPr>
          <w:noProof w:val="0"/>
          <w:sz w:val="22"/>
        </w:rPr>
      </w:pPr>
      <w:bookmarkStart w:id="13" w:name="_ENREF_13"/>
      <w:r w:rsidRPr="00DD4652">
        <w:rPr>
          <w:noProof w:val="0"/>
          <w:sz w:val="22"/>
        </w:rPr>
        <w:t xml:space="preserve">Fata, F. A., &amp; Arifin, Z. (2024). The impact of green credit distribution on bank performance and influencing factors: a case study of Indonesian banks. </w:t>
      </w:r>
      <w:r w:rsidRPr="00DD4652">
        <w:rPr>
          <w:i/>
          <w:noProof w:val="0"/>
          <w:sz w:val="22"/>
        </w:rPr>
        <w:t>International Journal of Research in Business and Social Science, 13</w:t>
      </w:r>
      <w:r w:rsidRPr="00DD4652">
        <w:rPr>
          <w:noProof w:val="0"/>
          <w:sz w:val="22"/>
        </w:rPr>
        <w:t>(1), 323-332. doi:</w:t>
      </w:r>
      <w:hyperlink r:id="rId27" w:history="1">
        <w:r w:rsidRPr="00DD4652">
          <w:rPr>
            <w:rStyle w:val="Hyperlink"/>
            <w:noProof w:val="0"/>
            <w:sz w:val="22"/>
          </w:rPr>
          <w:t>https://doi.org/10.20525/ijrbs.v13i1.3185</w:t>
        </w:r>
        <w:bookmarkEnd w:id="13"/>
      </w:hyperlink>
    </w:p>
    <w:p w14:paraId="5E9237DE" w14:textId="460F47F5" w:rsidR="0051042F" w:rsidRPr="00DD4652" w:rsidRDefault="0051042F" w:rsidP="0051042F">
      <w:pPr>
        <w:pStyle w:val="EndNoteBibliography"/>
        <w:ind w:left="720" w:hanging="720"/>
        <w:rPr>
          <w:noProof w:val="0"/>
          <w:sz w:val="22"/>
        </w:rPr>
      </w:pPr>
      <w:bookmarkStart w:id="14" w:name="_ENREF_14"/>
      <w:r w:rsidRPr="00DD4652">
        <w:rPr>
          <w:noProof w:val="0"/>
          <w:sz w:val="22"/>
        </w:rPr>
        <w:t xml:space="preserve">Fatemi, A., Glaum, M., &amp; Kaiser, S. (2018). ESG performance and firm value: The moderating role of disclosure. </w:t>
      </w:r>
      <w:r w:rsidRPr="00DD4652">
        <w:rPr>
          <w:i/>
          <w:noProof w:val="0"/>
          <w:sz w:val="22"/>
        </w:rPr>
        <w:t>Global finance journal, 38</w:t>
      </w:r>
      <w:r w:rsidRPr="00DD4652">
        <w:rPr>
          <w:noProof w:val="0"/>
          <w:sz w:val="22"/>
        </w:rPr>
        <w:t>, 45-64. doi:</w:t>
      </w:r>
      <w:hyperlink r:id="rId28" w:history="1">
        <w:r w:rsidRPr="00DD4652">
          <w:rPr>
            <w:rStyle w:val="Hyperlink"/>
            <w:noProof w:val="0"/>
            <w:sz w:val="22"/>
          </w:rPr>
          <w:t>https://doi.org/10.1016/j.gfj.2017.03.001</w:t>
        </w:r>
        <w:bookmarkEnd w:id="14"/>
      </w:hyperlink>
    </w:p>
    <w:p w14:paraId="2F2FACCD" w14:textId="034936CC" w:rsidR="0051042F" w:rsidRPr="00DD4652" w:rsidRDefault="0051042F" w:rsidP="0051042F">
      <w:pPr>
        <w:pStyle w:val="EndNoteBibliography"/>
        <w:ind w:left="720" w:hanging="720"/>
        <w:rPr>
          <w:noProof w:val="0"/>
          <w:sz w:val="22"/>
        </w:rPr>
      </w:pPr>
      <w:bookmarkStart w:id="15" w:name="_ENREF_15"/>
      <w:r w:rsidRPr="00DD4652">
        <w:rPr>
          <w:noProof w:val="0"/>
          <w:sz w:val="22"/>
        </w:rPr>
        <w:t xml:space="preserve">Galan, J. E., &amp; Tan, Y. (2024). Green light for green credit? Evidence from its impact on bank efficiency. </w:t>
      </w:r>
      <w:r w:rsidRPr="00DD4652">
        <w:rPr>
          <w:i/>
          <w:noProof w:val="0"/>
          <w:sz w:val="22"/>
        </w:rPr>
        <w:t>International Journal of Finance &amp; Economics, 29</w:t>
      </w:r>
      <w:r w:rsidRPr="00DD4652">
        <w:rPr>
          <w:noProof w:val="0"/>
          <w:sz w:val="22"/>
        </w:rPr>
        <w:t>(1), 531-550. doi:</w:t>
      </w:r>
      <w:hyperlink r:id="rId29" w:history="1">
        <w:r w:rsidRPr="00DD4652">
          <w:rPr>
            <w:rStyle w:val="Hyperlink"/>
            <w:noProof w:val="0"/>
            <w:sz w:val="22"/>
          </w:rPr>
          <w:t>https://doi.org/10.1002/ijfe.2697</w:t>
        </w:r>
        <w:bookmarkEnd w:id="15"/>
      </w:hyperlink>
    </w:p>
    <w:p w14:paraId="0262177E" w14:textId="77777777" w:rsidR="0051042F" w:rsidRPr="00DD4652" w:rsidRDefault="0051042F" w:rsidP="0051042F">
      <w:pPr>
        <w:pStyle w:val="EndNoteBibliography"/>
        <w:ind w:left="720" w:hanging="720"/>
        <w:rPr>
          <w:noProof w:val="0"/>
          <w:sz w:val="22"/>
        </w:rPr>
      </w:pPr>
      <w:bookmarkStart w:id="16" w:name="_ENREF_16"/>
      <w:r w:rsidRPr="00DD4652">
        <w:rPr>
          <w:noProof w:val="0"/>
          <w:sz w:val="22"/>
        </w:rPr>
        <w:t xml:space="preserve">Ghozali, I. (2018). </w:t>
      </w:r>
      <w:r w:rsidRPr="00DD4652">
        <w:rPr>
          <w:i/>
          <w:noProof w:val="0"/>
          <w:sz w:val="22"/>
        </w:rPr>
        <w:t>Aplikasi analisis multivariate dengan program IBM SPSS 25</w:t>
      </w:r>
      <w:r w:rsidRPr="00DD4652">
        <w:rPr>
          <w:noProof w:val="0"/>
          <w:sz w:val="22"/>
        </w:rPr>
        <w:t>.</w:t>
      </w:r>
      <w:bookmarkEnd w:id="16"/>
    </w:p>
    <w:p w14:paraId="211D4880" w14:textId="6204DFB9" w:rsidR="0051042F" w:rsidRPr="00DD4652" w:rsidRDefault="0051042F" w:rsidP="0051042F">
      <w:pPr>
        <w:pStyle w:val="EndNoteBibliography"/>
        <w:ind w:left="720" w:hanging="720"/>
        <w:rPr>
          <w:noProof w:val="0"/>
          <w:sz w:val="22"/>
        </w:rPr>
      </w:pPr>
      <w:bookmarkStart w:id="17" w:name="_ENREF_17"/>
      <w:r w:rsidRPr="00DD4652">
        <w:rPr>
          <w:noProof w:val="0"/>
          <w:sz w:val="22"/>
        </w:rPr>
        <w:t xml:space="preserve">Gupta, S., &amp; Bansal, R. (2026). Understanding bank lending and its relationship with profitability and non-performing loans: A meta-analysis. </w:t>
      </w:r>
      <w:r w:rsidRPr="00DD4652">
        <w:rPr>
          <w:i/>
          <w:noProof w:val="0"/>
          <w:sz w:val="22"/>
        </w:rPr>
        <w:t>Journal of Economic and Administrative Sciences, 42</w:t>
      </w:r>
      <w:r w:rsidRPr="00DD4652">
        <w:rPr>
          <w:noProof w:val="0"/>
          <w:sz w:val="22"/>
        </w:rPr>
        <w:t>(3), 597-613. doi:</w:t>
      </w:r>
      <w:hyperlink r:id="rId30" w:history="1">
        <w:r w:rsidRPr="00DD4652">
          <w:rPr>
            <w:rStyle w:val="Hyperlink"/>
            <w:noProof w:val="0"/>
            <w:sz w:val="22"/>
          </w:rPr>
          <w:t>https://doi.org/10.1108/JEAS-03-2023-0060</w:t>
        </w:r>
        <w:bookmarkEnd w:id="17"/>
      </w:hyperlink>
    </w:p>
    <w:p w14:paraId="5EC7899D" w14:textId="3A579DDE" w:rsidR="0051042F" w:rsidRPr="00DD4652" w:rsidRDefault="0051042F" w:rsidP="0051042F">
      <w:pPr>
        <w:pStyle w:val="EndNoteBibliography"/>
        <w:ind w:left="720" w:hanging="720"/>
        <w:rPr>
          <w:noProof w:val="0"/>
          <w:sz w:val="22"/>
        </w:rPr>
      </w:pPr>
      <w:bookmarkStart w:id="18" w:name="_ENREF_18"/>
      <w:r w:rsidRPr="00DD4652">
        <w:rPr>
          <w:noProof w:val="0"/>
          <w:sz w:val="22"/>
        </w:rPr>
        <w:t xml:space="preserve">Haibo, C., &amp; Manu, E. K. (2022). The impact of banks’ financial performance on environmental performance in Africa. </w:t>
      </w:r>
      <w:r w:rsidRPr="00DD4652">
        <w:rPr>
          <w:i/>
          <w:noProof w:val="0"/>
          <w:sz w:val="22"/>
        </w:rPr>
        <w:t>Environmental Science and Pollution Research, 29</w:t>
      </w:r>
      <w:r w:rsidRPr="00DD4652">
        <w:rPr>
          <w:noProof w:val="0"/>
          <w:sz w:val="22"/>
        </w:rPr>
        <w:t>(32), 49214-49233. doi:</w:t>
      </w:r>
      <w:hyperlink r:id="rId31" w:history="1">
        <w:r w:rsidRPr="00DD4652">
          <w:rPr>
            <w:rStyle w:val="Hyperlink"/>
            <w:noProof w:val="0"/>
            <w:sz w:val="22"/>
          </w:rPr>
          <w:t>https://doi.org/10.1007/s11356-022-19401-w</w:t>
        </w:r>
        <w:bookmarkEnd w:id="18"/>
      </w:hyperlink>
    </w:p>
    <w:p w14:paraId="66E9779F" w14:textId="77777777" w:rsidR="0051042F" w:rsidRPr="00DD4652" w:rsidRDefault="0051042F" w:rsidP="0051042F">
      <w:pPr>
        <w:pStyle w:val="EndNoteBibliography"/>
        <w:ind w:left="720" w:hanging="720"/>
        <w:rPr>
          <w:noProof w:val="0"/>
          <w:sz w:val="22"/>
        </w:rPr>
      </w:pPr>
      <w:bookmarkStart w:id="19" w:name="_ENREF_19"/>
      <w:r w:rsidRPr="00DD4652">
        <w:rPr>
          <w:noProof w:val="0"/>
          <w:sz w:val="22"/>
        </w:rPr>
        <w:lastRenderedPageBreak/>
        <w:t xml:space="preserve">Jensen, M. C., &amp; Meckling, W. H. (2019). Theory of the firm: Managerial behavior, agency costs and ownership structure </w:t>
      </w:r>
      <w:r w:rsidRPr="00DD4652">
        <w:rPr>
          <w:i/>
          <w:noProof w:val="0"/>
          <w:sz w:val="22"/>
        </w:rPr>
        <w:t>Corporate governance</w:t>
      </w:r>
      <w:r w:rsidRPr="00DD4652">
        <w:rPr>
          <w:noProof w:val="0"/>
          <w:sz w:val="22"/>
        </w:rPr>
        <w:t xml:space="preserve"> (pp. 77-132): Gower.</w:t>
      </w:r>
      <w:bookmarkEnd w:id="19"/>
    </w:p>
    <w:p w14:paraId="45D4700B" w14:textId="1833F15A" w:rsidR="0051042F" w:rsidRPr="00DD4652" w:rsidRDefault="0051042F" w:rsidP="0051042F">
      <w:pPr>
        <w:pStyle w:val="EndNoteBibliography"/>
        <w:ind w:left="720" w:hanging="720"/>
        <w:rPr>
          <w:noProof w:val="0"/>
          <w:sz w:val="22"/>
        </w:rPr>
      </w:pPr>
      <w:bookmarkStart w:id="20" w:name="_ENREF_20"/>
      <w:r w:rsidRPr="00DD4652">
        <w:rPr>
          <w:noProof w:val="0"/>
          <w:sz w:val="22"/>
        </w:rPr>
        <w:t xml:space="preserve">Kashif, M., Pinglu, C., Ullah, A., &amp; Qian, N. (2025). The impact of green finance and FinTech mechanisms on financial stability: Evidence from advanced and emerging economies. </w:t>
      </w:r>
      <w:r w:rsidRPr="00DD4652">
        <w:rPr>
          <w:i/>
          <w:noProof w:val="0"/>
          <w:sz w:val="22"/>
        </w:rPr>
        <w:t>China Finance Review International</w:t>
      </w:r>
      <w:r w:rsidRPr="00DD4652">
        <w:rPr>
          <w:noProof w:val="0"/>
          <w:sz w:val="22"/>
        </w:rPr>
        <w:t>. doi:</w:t>
      </w:r>
      <w:hyperlink r:id="rId32" w:history="1">
        <w:r w:rsidRPr="00DD4652">
          <w:rPr>
            <w:rStyle w:val="Hyperlink"/>
            <w:noProof w:val="0"/>
            <w:sz w:val="22"/>
          </w:rPr>
          <w:t>https://doi.org/10.1108/CFRI-07-2024-0393</w:t>
        </w:r>
        <w:bookmarkEnd w:id="20"/>
      </w:hyperlink>
    </w:p>
    <w:p w14:paraId="507C061B" w14:textId="40C2D470" w:rsidR="0051042F" w:rsidRPr="00DD4652" w:rsidRDefault="0051042F" w:rsidP="0051042F">
      <w:pPr>
        <w:pStyle w:val="EndNoteBibliography"/>
        <w:ind w:left="720" w:hanging="720"/>
        <w:rPr>
          <w:noProof w:val="0"/>
          <w:sz w:val="22"/>
        </w:rPr>
      </w:pPr>
      <w:bookmarkStart w:id="21" w:name="_ENREF_21"/>
      <w:r w:rsidRPr="00DD4652">
        <w:rPr>
          <w:noProof w:val="0"/>
          <w:sz w:val="22"/>
        </w:rPr>
        <w:t xml:space="preserve">Khakim, A. R., Santosa, W., Dewayana, T. S., &amp; Koro, K. B. (2025). The influence of logistic service quality on customer satisfaction: The moderating role of environmental friendliness. </w:t>
      </w:r>
      <w:r w:rsidRPr="00DD4652">
        <w:rPr>
          <w:i/>
          <w:noProof w:val="0"/>
          <w:sz w:val="22"/>
        </w:rPr>
        <w:t>Jurnal Akuntansi, Keuangan, dan Manajemen, 7</w:t>
      </w:r>
      <w:r w:rsidRPr="00DD4652">
        <w:rPr>
          <w:noProof w:val="0"/>
          <w:sz w:val="22"/>
        </w:rPr>
        <w:t>(1), 431-446. doi:</w:t>
      </w:r>
      <w:hyperlink r:id="rId33" w:history="1">
        <w:r w:rsidRPr="00DD4652">
          <w:rPr>
            <w:rStyle w:val="Hyperlink"/>
            <w:noProof w:val="0"/>
            <w:sz w:val="22"/>
          </w:rPr>
          <w:t>https://doi.org/10.35912/jakman.v7i1.5160</w:t>
        </w:r>
        <w:bookmarkEnd w:id="21"/>
      </w:hyperlink>
    </w:p>
    <w:p w14:paraId="21793C99" w14:textId="77777777" w:rsidR="0051042F" w:rsidRPr="00DD4652" w:rsidRDefault="0051042F" w:rsidP="0051042F">
      <w:pPr>
        <w:pStyle w:val="EndNoteBibliography"/>
        <w:ind w:left="720" w:hanging="720"/>
        <w:rPr>
          <w:noProof w:val="0"/>
          <w:sz w:val="22"/>
        </w:rPr>
      </w:pPr>
      <w:bookmarkStart w:id="22" w:name="_ENREF_22"/>
      <w:r w:rsidRPr="00DD4652">
        <w:rPr>
          <w:noProof w:val="0"/>
          <w:sz w:val="22"/>
        </w:rPr>
        <w:t xml:space="preserve">Kumari, J., &amp; Hiremath, G. S. (2025). The effect of capital structure on firm performance: Evidence from Indian firms. </w:t>
      </w:r>
      <w:r w:rsidRPr="00DD4652">
        <w:rPr>
          <w:i/>
          <w:noProof w:val="0"/>
          <w:sz w:val="22"/>
        </w:rPr>
        <w:t>African Review of Economics and Finance, 17</w:t>
      </w:r>
      <w:r w:rsidRPr="00DD4652">
        <w:rPr>
          <w:noProof w:val="0"/>
          <w:sz w:val="22"/>
        </w:rPr>
        <w:t xml:space="preserve">(2), 212-232. </w:t>
      </w:r>
      <w:bookmarkEnd w:id="22"/>
    </w:p>
    <w:p w14:paraId="52CF372A" w14:textId="3D2BED67" w:rsidR="0051042F" w:rsidRPr="00DD4652" w:rsidRDefault="0051042F" w:rsidP="0051042F">
      <w:pPr>
        <w:pStyle w:val="EndNoteBibliography"/>
        <w:ind w:left="720" w:hanging="720"/>
        <w:rPr>
          <w:noProof w:val="0"/>
          <w:sz w:val="22"/>
        </w:rPr>
      </w:pPr>
      <w:bookmarkStart w:id="23" w:name="_ENREF_23"/>
      <w:r w:rsidRPr="00DD4652">
        <w:rPr>
          <w:noProof w:val="0"/>
          <w:sz w:val="22"/>
        </w:rPr>
        <w:t xml:space="preserve">Lamothe, P., Delgado, E., Solano, M. A., &amp; Fernández, S. M. (2024). A global analysis of bank profitability factors. </w:t>
      </w:r>
      <w:r w:rsidRPr="00DD4652">
        <w:rPr>
          <w:i/>
          <w:noProof w:val="0"/>
          <w:sz w:val="22"/>
        </w:rPr>
        <w:t>Humanities and Social Sciences Communications, 11</w:t>
      </w:r>
      <w:r w:rsidRPr="00DD4652">
        <w:rPr>
          <w:noProof w:val="0"/>
          <w:sz w:val="22"/>
        </w:rPr>
        <w:t>(1), 1-12. doi:</w:t>
      </w:r>
      <w:hyperlink r:id="rId34" w:history="1">
        <w:r w:rsidRPr="00DD4652">
          <w:rPr>
            <w:rStyle w:val="Hyperlink"/>
            <w:noProof w:val="0"/>
            <w:sz w:val="22"/>
          </w:rPr>
          <w:t>https://doi.org/10.1057/s41599-023-02545-6</w:t>
        </w:r>
        <w:bookmarkEnd w:id="23"/>
      </w:hyperlink>
    </w:p>
    <w:p w14:paraId="55A184C8" w14:textId="4FE27675" w:rsidR="0051042F" w:rsidRPr="00DD4652" w:rsidRDefault="0051042F" w:rsidP="0051042F">
      <w:pPr>
        <w:pStyle w:val="EndNoteBibliography"/>
        <w:ind w:left="720" w:hanging="720"/>
        <w:rPr>
          <w:noProof w:val="0"/>
          <w:sz w:val="22"/>
        </w:rPr>
      </w:pPr>
      <w:bookmarkStart w:id="24" w:name="_ENREF_24"/>
      <w:r w:rsidRPr="00DD4652">
        <w:rPr>
          <w:noProof w:val="0"/>
          <w:sz w:val="22"/>
        </w:rPr>
        <w:t xml:space="preserve">Lian, Y., Gao, J., &amp; Ye, T. (2022). How does green credit affect the financial performance of commercial banks? Evidence from China. </w:t>
      </w:r>
      <w:r w:rsidRPr="00DD4652">
        <w:rPr>
          <w:i/>
          <w:noProof w:val="0"/>
          <w:sz w:val="22"/>
        </w:rPr>
        <w:t>Journal of Cleaner Production, 344</w:t>
      </w:r>
      <w:r w:rsidRPr="00DD4652">
        <w:rPr>
          <w:noProof w:val="0"/>
          <w:sz w:val="22"/>
        </w:rPr>
        <w:t>, 131069. doi:</w:t>
      </w:r>
      <w:hyperlink r:id="rId35" w:history="1">
        <w:r w:rsidRPr="00DD4652">
          <w:rPr>
            <w:rStyle w:val="Hyperlink"/>
            <w:noProof w:val="0"/>
            <w:sz w:val="22"/>
          </w:rPr>
          <w:t>https://doi.org/10.1016/j.jclepro.2022.131069</w:t>
        </w:r>
        <w:bookmarkEnd w:id="24"/>
      </w:hyperlink>
    </w:p>
    <w:p w14:paraId="58E76F59" w14:textId="6BBC27E8" w:rsidR="0051042F" w:rsidRPr="00DD4652" w:rsidRDefault="0051042F" w:rsidP="0051042F">
      <w:pPr>
        <w:pStyle w:val="EndNoteBibliography"/>
        <w:ind w:left="720" w:hanging="720"/>
        <w:rPr>
          <w:noProof w:val="0"/>
          <w:sz w:val="22"/>
        </w:rPr>
      </w:pPr>
      <w:bookmarkStart w:id="25" w:name="_ENREF_25"/>
      <w:r w:rsidRPr="00DD4652">
        <w:rPr>
          <w:noProof w:val="0"/>
          <w:sz w:val="22"/>
        </w:rPr>
        <w:t xml:space="preserve">Mateev, M., Sahyouni, A., &amp; Tariq, M. U. (2023). Bank regulation, ownership and risk taking behavior in the MENA region: Policy implications for banks in emerging economies. </w:t>
      </w:r>
      <w:r w:rsidRPr="00DD4652">
        <w:rPr>
          <w:i/>
          <w:noProof w:val="0"/>
          <w:sz w:val="22"/>
        </w:rPr>
        <w:t>Review of managerial science, 17</w:t>
      </w:r>
      <w:r w:rsidRPr="00DD4652">
        <w:rPr>
          <w:noProof w:val="0"/>
          <w:sz w:val="22"/>
        </w:rPr>
        <w:t>(1), 287-338. doi:</w:t>
      </w:r>
      <w:hyperlink r:id="rId36" w:history="1">
        <w:r w:rsidRPr="00DD4652">
          <w:rPr>
            <w:rStyle w:val="Hyperlink"/>
            <w:noProof w:val="0"/>
            <w:sz w:val="22"/>
          </w:rPr>
          <w:t>https://doi.org/10.1007/s11846-022-00529-5</w:t>
        </w:r>
        <w:bookmarkEnd w:id="25"/>
      </w:hyperlink>
    </w:p>
    <w:p w14:paraId="53CCB620" w14:textId="2A0B5C5D" w:rsidR="0051042F" w:rsidRPr="00DD4652" w:rsidRDefault="0051042F" w:rsidP="0051042F">
      <w:pPr>
        <w:pStyle w:val="EndNoteBibliography"/>
        <w:ind w:left="720" w:hanging="720"/>
        <w:rPr>
          <w:noProof w:val="0"/>
          <w:sz w:val="22"/>
        </w:rPr>
      </w:pPr>
      <w:bookmarkStart w:id="26" w:name="_ENREF_26"/>
      <w:r w:rsidRPr="00DD4652">
        <w:rPr>
          <w:noProof w:val="0"/>
          <w:sz w:val="22"/>
        </w:rPr>
        <w:t xml:space="preserve">Mirza, N., Afzal, A., Umar, M., &amp; Skare, M. (2023). The impact of green lending on banking performance: Evidence from SME credit portfolios in the BRIC. </w:t>
      </w:r>
      <w:r w:rsidRPr="00DD4652">
        <w:rPr>
          <w:i/>
          <w:noProof w:val="0"/>
          <w:sz w:val="22"/>
        </w:rPr>
        <w:t>Economic Analysis and Policy, 77</w:t>
      </w:r>
      <w:r w:rsidRPr="00DD4652">
        <w:rPr>
          <w:noProof w:val="0"/>
          <w:sz w:val="22"/>
        </w:rPr>
        <w:t>, 843-850. doi:</w:t>
      </w:r>
      <w:hyperlink r:id="rId37" w:history="1">
        <w:r w:rsidRPr="00DD4652">
          <w:rPr>
            <w:rStyle w:val="Hyperlink"/>
            <w:noProof w:val="0"/>
            <w:sz w:val="22"/>
          </w:rPr>
          <w:t>https://doi.org/10.1016/j.eap.2022.12.024</w:t>
        </w:r>
        <w:bookmarkEnd w:id="26"/>
      </w:hyperlink>
    </w:p>
    <w:p w14:paraId="6E1031C6" w14:textId="1BF0077A" w:rsidR="0051042F" w:rsidRPr="00DD4652" w:rsidRDefault="0051042F" w:rsidP="0051042F">
      <w:pPr>
        <w:pStyle w:val="EndNoteBibliography"/>
        <w:ind w:left="720" w:hanging="720"/>
        <w:rPr>
          <w:noProof w:val="0"/>
          <w:sz w:val="22"/>
        </w:rPr>
      </w:pPr>
      <w:bookmarkStart w:id="27" w:name="_ENREF_27"/>
      <w:r w:rsidRPr="00DD4652">
        <w:rPr>
          <w:noProof w:val="0"/>
          <w:sz w:val="22"/>
        </w:rPr>
        <w:t xml:space="preserve">Muchiri, M. K., Fekete-Farkas, M., &amp; Erdei-Gally, S. K. (2025). How do green banking practices impact banks’ profitability? A meta-analysis. </w:t>
      </w:r>
      <w:r w:rsidRPr="00DD4652">
        <w:rPr>
          <w:i/>
          <w:noProof w:val="0"/>
          <w:sz w:val="22"/>
        </w:rPr>
        <w:t>Journal of Risk and Financial Management, 18</w:t>
      </w:r>
      <w:r w:rsidRPr="00DD4652">
        <w:rPr>
          <w:noProof w:val="0"/>
          <w:sz w:val="22"/>
        </w:rPr>
        <w:t>(6), 320. doi:</w:t>
      </w:r>
      <w:hyperlink r:id="rId38" w:history="1">
        <w:r w:rsidRPr="00DD4652">
          <w:rPr>
            <w:rStyle w:val="Hyperlink"/>
            <w:noProof w:val="0"/>
            <w:sz w:val="22"/>
          </w:rPr>
          <w:t>https://doi.org/10.3390/jrfm18060320</w:t>
        </w:r>
        <w:bookmarkEnd w:id="27"/>
      </w:hyperlink>
    </w:p>
    <w:p w14:paraId="7D01FCAA" w14:textId="7F83119E" w:rsidR="0051042F" w:rsidRPr="00DD4652" w:rsidRDefault="0051042F" w:rsidP="0051042F">
      <w:pPr>
        <w:pStyle w:val="EndNoteBibliography"/>
        <w:ind w:left="720" w:hanging="720"/>
        <w:rPr>
          <w:noProof w:val="0"/>
          <w:sz w:val="22"/>
        </w:rPr>
      </w:pPr>
      <w:bookmarkStart w:id="28" w:name="_ENREF_28"/>
      <w:r w:rsidRPr="00DD4652">
        <w:rPr>
          <w:noProof w:val="0"/>
          <w:sz w:val="22"/>
        </w:rPr>
        <w:t xml:space="preserve">Nguyen, P. D. (2025). Non-performing loans and bank profitability: Evidence from Vietnam. </w:t>
      </w:r>
      <w:r w:rsidRPr="00DD4652">
        <w:rPr>
          <w:i/>
          <w:noProof w:val="0"/>
          <w:sz w:val="22"/>
        </w:rPr>
        <w:t>Macroeconomics and Finance in Emerging Market Economies, 18</w:t>
      </w:r>
      <w:r w:rsidRPr="00DD4652">
        <w:rPr>
          <w:noProof w:val="0"/>
          <w:sz w:val="22"/>
        </w:rPr>
        <w:t>(2), 399-419. doi:</w:t>
      </w:r>
      <w:hyperlink r:id="rId39" w:history="1">
        <w:r w:rsidRPr="00DD4652">
          <w:rPr>
            <w:rStyle w:val="Hyperlink"/>
            <w:noProof w:val="0"/>
            <w:sz w:val="22"/>
          </w:rPr>
          <w:t>https://doi.org/10.1080/17520843.2024.2318927</w:t>
        </w:r>
        <w:bookmarkEnd w:id="28"/>
      </w:hyperlink>
    </w:p>
    <w:p w14:paraId="5E92F70E" w14:textId="0B6EF208" w:rsidR="0051042F" w:rsidRPr="00DD4652" w:rsidRDefault="0051042F" w:rsidP="0051042F">
      <w:pPr>
        <w:pStyle w:val="EndNoteBibliography"/>
        <w:ind w:left="720" w:hanging="720"/>
        <w:rPr>
          <w:noProof w:val="0"/>
          <w:sz w:val="22"/>
        </w:rPr>
      </w:pPr>
      <w:bookmarkStart w:id="29" w:name="_ENREF_29"/>
      <w:r w:rsidRPr="00DD4652">
        <w:rPr>
          <w:noProof w:val="0"/>
          <w:sz w:val="22"/>
        </w:rPr>
        <w:t xml:space="preserve">Nguyen, T. H., Elmagrhi, M. H., Ntim, C. G., &amp; Wu, Y. (2021). Environmental performance, sustainability, governance and financial performance: Evidence from heavily polluting industries in China. </w:t>
      </w:r>
      <w:r w:rsidRPr="00DD4652">
        <w:rPr>
          <w:i/>
          <w:noProof w:val="0"/>
          <w:sz w:val="22"/>
        </w:rPr>
        <w:t>Business strategy and the environment, 30</w:t>
      </w:r>
      <w:r w:rsidRPr="00DD4652">
        <w:rPr>
          <w:noProof w:val="0"/>
          <w:sz w:val="22"/>
        </w:rPr>
        <w:t>(5), 2313-2331. doi:</w:t>
      </w:r>
      <w:hyperlink r:id="rId40" w:history="1">
        <w:r w:rsidRPr="00DD4652">
          <w:rPr>
            <w:rStyle w:val="Hyperlink"/>
            <w:noProof w:val="0"/>
            <w:sz w:val="22"/>
          </w:rPr>
          <w:t>https://doi.org/10.1002/bse.2748</w:t>
        </w:r>
        <w:bookmarkEnd w:id="29"/>
      </w:hyperlink>
    </w:p>
    <w:p w14:paraId="446DDF6D" w14:textId="5F1CA16B" w:rsidR="0051042F" w:rsidRPr="00DD4652" w:rsidRDefault="0051042F" w:rsidP="0051042F">
      <w:pPr>
        <w:pStyle w:val="EndNoteBibliography"/>
        <w:ind w:left="720" w:hanging="720"/>
        <w:rPr>
          <w:noProof w:val="0"/>
          <w:sz w:val="22"/>
        </w:rPr>
      </w:pPr>
      <w:bookmarkStart w:id="30" w:name="_ENREF_30"/>
      <w:r w:rsidRPr="00DD4652">
        <w:rPr>
          <w:noProof w:val="0"/>
          <w:sz w:val="22"/>
        </w:rPr>
        <w:t xml:space="preserve">Ozili, P. K. (2022). Sustainability and sustainable development research around the world. </w:t>
      </w:r>
      <w:r w:rsidRPr="00DD4652">
        <w:rPr>
          <w:i/>
          <w:noProof w:val="0"/>
          <w:sz w:val="22"/>
        </w:rPr>
        <w:t>Managing Global Transitions, 20</w:t>
      </w:r>
      <w:r w:rsidRPr="00DD4652">
        <w:rPr>
          <w:noProof w:val="0"/>
          <w:sz w:val="22"/>
        </w:rPr>
        <w:t>(3), 259</w:t>
      </w:r>
      <w:r w:rsidR="00B3266D">
        <w:rPr>
          <w:noProof w:val="0"/>
          <w:sz w:val="22"/>
        </w:rPr>
        <w:t>-</w:t>
      </w:r>
      <w:r w:rsidRPr="00DD4652">
        <w:rPr>
          <w:noProof w:val="0"/>
          <w:sz w:val="22"/>
        </w:rPr>
        <w:t>283. doi:</w:t>
      </w:r>
      <w:hyperlink r:id="rId41" w:history="1">
        <w:r w:rsidRPr="00DD4652">
          <w:rPr>
            <w:rStyle w:val="Hyperlink"/>
            <w:noProof w:val="0"/>
            <w:sz w:val="22"/>
          </w:rPr>
          <w:t>https://doi.org/10.26493/1854-6935.20.259-293</w:t>
        </w:r>
        <w:bookmarkEnd w:id="30"/>
      </w:hyperlink>
    </w:p>
    <w:p w14:paraId="1C50AE1C" w14:textId="32EA7F89" w:rsidR="0051042F" w:rsidRPr="00DD4652" w:rsidRDefault="0051042F" w:rsidP="0051042F">
      <w:pPr>
        <w:pStyle w:val="EndNoteBibliography"/>
        <w:ind w:left="720" w:hanging="720"/>
        <w:rPr>
          <w:noProof w:val="0"/>
          <w:sz w:val="22"/>
        </w:rPr>
      </w:pPr>
      <w:bookmarkStart w:id="31" w:name="_ENREF_31"/>
      <w:r w:rsidRPr="00DD4652">
        <w:rPr>
          <w:noProof w:val="0"/>
          <w:sz w:val="22"/>
        </w:rPr>
        <w:t xml:space="preserve">Ozili, P. K., &amp; Outa, E. (2017). Bank loan loss provisions research: A review. </w:t>
      </w:r>
      <w:r w:rsidRPr="00DD4652">
        <w:rPr>
          <w:i/>
          <w:noProof w:val="0"/>
          <w:sz w:val="22"/>
        </w:rPr>
        <w:t>Borsa Istanbul Review, 17</w:t>
      </w:r>
      <w:r w:rsidRPr="00DD4652">
        <w:rPr>
          <w:noProof w:val="0"/>
          <w:sz w:val="22"/>
        </w:rPr>
        <w:t>(3), 144-163. doi:</w:t>
      </w:r>
      <w:hyperlink r:id="rId42" w:history="1">
        <w:r w:rsidRPr="00DD4652">
          <w:rPr>
            <w:rStyle w:val="Hyperlink"/>
            <w:noProof w:val="0"/>
            <w:sz w:val="22"/>
          </w:rPr>
          <w:t>https://doi.org/10.1016/j.bir.2017.05.001</w:t>
        </w:r>
        <w:bookmarkEnd w:id="31"/>
      </w:hyperlink>
    </w:p>
    <w:p w14:paraId="5B06EBC1" w14:textId="769B87D6" w:rsidR="0051042F" w:rsidRPr="00DD4652" w:rsidRDefault="0051042F" w:rsidP="0051042F">
      <w:pPr>
        <w:pStyle w:val="EndNoteBibliography"/>
        <w:ind w:left="720" w:hanging="720"/>
        <w:rPr>
          <w:noProof w:val="0"/>
          <w:sz w:val="22"/>
        </w:rPr>
      </w:pPr>
      <w:bookmarkStart w:id="32" w:name="_ENREF_32"/>
      <w:r w:rsidRPr="00DD4652">
        <w:rPr>
          <w:noProof w:val="0"/>
          <w:sz w:val="22"/>
        </w:rPr>
        <w:t xml:space="preserve">Park, H., &amp; Kim, J. D. (2020). Transition towards green banking: role of financial regulators and financial institutions. </w:t>
      </w:r>
      <w:r w:rsidRPr="00DD4652">
        <w:rPr>
          <w:i/>
          <w:noProof w:val="0"/>
          <w:sz w:val="22"/>
        </w:rPr>
        <w:t>Asian Journal of Sustainability and Social Responsibility, 5</w:t>
      </w:r>
      <w:r w:rsidRPr="00DD4652">
        <w:rPr>
          <w:noProof w:val="0"/>
          <w:sz w:val="22"/>
        </w:rPr>
        <w:t>(1), 1-25. doi:</w:t>
      </w:r>
      <w:hyperlink r:id="rId43" w:history="1">
        <w:r w:rsidRPr="00DD4652">
          <w:rPr>
            <w:rStyle w:val="Hyperlink"/>
            <w:noProof w:val="0"/>
            <w:sz w:val="22"/>
          </w:rPr>
          <w:t>https://doi.org/10.1186/s41180-020-00034-3</w:t>
        </w:r>
        <w:bookmarkEnd w:id="32"/>
      </w:hyperlink>
    </w:p>
    <w:p w14:paraId="455CAB16" w14:textId="661D4411" w:rsidR="0051042F" w:rsidRPr="00DD4652" w:rsidRDefault="0051042F" w:rsidP="0051042F">
      <w:pPr>
        <w:pStyle w:val="EndNoteBibliography"/>
        <w:ind w:left="720" w:hanging="720"/>
        <w:rPr>
          <w:noProof w:val="0"/>
          <w:sz w:val="22"/>
        </w:rPr>
      </w:pPr>
      <w:bookmarkStart w:id="33" w:name="_ENREF_33"/>
      <w:r w:rsidRPr="00DD4652">
        <w:rPr>
          <w:noProof w:val="0"/>
          <w:sz w:val="22"/>
        </w:rPr>
        <w:t xml:space="preserve">Puspita, I. L., Yahya, A., Adha, N. A. K. A. A., &amp; Juliandari, W. (2025). The impact of the israeli product boycott on the international economy, the israeli product boycott movement: economic, legal, and ethical perspectives. </w:t>
      </w:r>
      <w:r w:rsidRPr="00DD4652">
        <w:rPr>
          <w:i/>
          <w:noProof w:val="0"/>
          <w:sz w:val="22"/>
        </w:rPr>
        <w:t>Jurnal Relevansi: Ekonomi, Manajemen dan Bisnis, 9</w:t>
      </w:r>
      <w:r w:rsidRPr="00DD4652">
        <w:rPr>
          <w:noProof w:val="0"/>
          <w:sz w:val="22"/>
        </w:rPr>
        <w:t>(2), 347-356. doi:</w:t>
      </w:r>
      <w:hyperlink r:id="rId44" w:history="1">
        <w:r w:rsidRPr="00DD4652">
          <w:rPr>
            <w:rStyle w:val="Hyperlink"/>
            <w:noProof w:val="0"/>
            <w:sz w:val="22"/>
          </w:rPr>
          <w:t>https://doi.org/10.61401/relevansi.v9i2.353</w:t>
        </w:r>
        <w:bookmarkEnd w:id="33"/>
      </w:hyperlink>
    </w:p>
    <w:p w14:paraId="6688FD30" w14:textId="418F4634" w:rsidR="0051042F" w:rsidRPr="00DD4652" w:rsidRDefault="0051042F" w:rsidP="0051042F">
      <w:pPr>
        <w:pStyle w:val="EndNoteBibliography"/>
        <w:ind w:left="720" w:hanging="720"/>
        <w:rPr>
          <w:noProof w:val="0"/>
          <w:sz w:val="22"/>
        </w:rPr>
      </w:pPr>
      <w:bookmarkStart w:id="34" w:name="_ENREF_34"/>
      <w:r w:rsidRPr="00DD4652">
        <w:rPr>
          <w:noProof w:val="0"/>
          <w:sz w:val="22"/>
        </w:rPr>
        <w:t xml:space="preserve">Riyanti, R. S., Wulandari, P., Prijadi, R., &amp; Tortosa-Ausina, E. (2025). Green loans: Navigating the path to sustainable profitability in banking. </w:t>
      </w:r>
      <w:r w:rsidRPr="00DD4652">
        <w:rPr>
          <w:i/>
          <w:noProof w:val="0"/>
          <w:sz w:val="22"/>
        </w:rPr>
        <w:t>Economic Analysis and Policy, 85</w:t>
      </w:r>
      <w:r w:rsidRPr="00DD4652">
        <w:rPr>
          <w:noProof w:val="0"/>
          <w:sz w:val="22"/>
        </w:rPr>
        <w:t>, 1613-1624. doi:</w:t>
      </w:r>
      <w:hyperlink r:id="rId45" w:history="1">
        <w:r w:rsidRPr="00DD4652">
          <w:rPr>
            <w:rStyle w:val="Hyperlink"/>
            <w:noProof w:val="0"/>
            <w:sz w:val="22"/>
          </w:rPr>
          <w:t>https://doi.org/10.1016/j.eap.2025.01.028</w:t>
        </w:r>
        <w:bookmarkEnd w:id="34"/>
      </w:hyperlink>
    </w:p>
    <w:p w14:paraId="1B4322FA" w14:textId="5E9510A2" w:rsidR="0051042F" w:rsidRPr="00DD4652" w:rsidRDefault="0051042F" w:rsidP="0051042F">
      <w:pPr>
        <w:pStyle w:val="EndNoteBibliography"/>
        <w:ind w:left="720" w:hanging="720"/>
        <w:rPr>
          <w:noProof w:val="0"/>
          <w:sz w:val="22"/>
        </w:rPr>
      </w:pPr>
      <w:bookmarkStart w:id="35" w:name="_ENREF_35"/>
      <w:r w:rsidRPr="00DD4652">
        <w:rPr>
          <w:noProof w:val="0"/>
          <w:sz w:val="22"/>
        </w:rPr>
        <w:t xml:space="preserve">Saif-Alyousfi, A. Y. (2022). Determinants of bank profitability: Evidence from 47 Asian countries. </w:t>
      </w:r>
      <w:r w:rsidRPr="00DD4652">
        <w:rPr>
          <w:i/>
          <w:noProof w:val="0"/>
          <w:sz w:val="22"/>
        </w:rPr>
        <w:t>Journal of Economic studies, 49</w:t>
      </w:r>
      <w:r w:rsidRPr="00DD4652">
        <w:rPr>
          <w:noProof w:val="0"/>
          <w:sz w:val="22"/>
        </w:rPr>
        <w:t>(1), 44-60. doi:</w:t>
      </w:r>
      <w:hyperlink r:id="rId46" w:history="1">
        <w:r w:rsidRPr="00DD4652">
          <w:rPr>
            <w:rStyle w:val="Hyperlink"/>
            <w:noProof w:val="0"/>
            <w:sz w:val="22"/>
          </w:rPr>
          <w:t>https://doi.org/10.1108/JES-05-2020-0215</w:t>
        </w:r>
        <w:bookmarkEnd w:id="35"/>
      </w:hyperlink>
    </w:p>
    <w:p w14:paraId="45D5B857" w14:textId="273378CA" w:rsidR="0051042F" w:rsidRPr="00DD4652" w:rsidRDefault="0051042F" w:rsidP="0051042F">
      <w:pPr>
        <w:pStyle w:val="EndNoteBibliography"/>
        <w:ind w:left="720" w:hanging="720"/>
        <w:rPr>
          <w:noProof w:val="0"/>
          <w:sz w:val="22"/>
        </w:rPr>
      </w:pPr>
      <w:bookmarkStart w:id="36" w:name="_ENREF_36"/>
      <w:r w:rsidRPr="00DD4652">
        <w:rPr>
          <w:noProof w:val="0"/>
          <w:sz w:val="22"/>
        </w:rPr>
        <w:t xml:space="preserve">Setyarini, A. (2020). Analisis pengaruh CAR, NPL, NIM, BOPO, LDR terhadap ROA (studi pada Bank Pembangunan Daerah di Indonesia Periode 2015-2018). </w:t>
      </w:r>
      <w:r w:rsidRPr="00DD4652">
        <w:rPr>
          <w:i/>
          <w:noProof w:val="0"/>
          <w:sz w:val="22"/>
        </w:rPr>
        <w:t>Research Fair Unisri, 4</w:t>
      </w:r>
      <w:r w:rsidRPr="00DD4652">
        <w:rPr>
          <w:noProof w:val="0"/>
          <w:sz w:val="22"/>
        </w:rPr>
        <w:t>(1). doi:</w:t>
      </w:r>
      <w:hyperlink r:id="rId47" w:history="1">
        <w:r w:rsidRPr="00DD4652">
          <w:rPr>
            <w:rStyle w:val="Hyperlink"/>
            <w:noProof w:val="0"/>
            <w:sz w:val="22"/>
          </w:rPr>
          <w:t>https://doi.org/10.33061/rsfu.v4i1.3409</w:t>
        </w:r>
        <w:bookmarkEnd w:id="36"/>
      </w:hyperlink>
    </w:p>
    <w:p w14:paraId="5C53CC4F" w14:textId="5174BDA1" w:rsidR="0051042F" w:rsidRPr="00DD4652" w:rsidRDefault="0051042F" w:rsidP="0051042F">
      <w:pPr>
        <w:pStyle w:val="EndNoteBibliography"/>
        <w:ind w:left="720" w:hanging="720"/>
        <w:rPr>
          <w:noProof w:val="0"/>
          <w:sz w:val="22"/>
        </w:rPr>
      </w:pPr>
      <w:bookmarkStart w:id="37" w:name="_ENREF_37"/>
      <w:r w:rsidRPr="00DD4652">
        <w:rPr>
          <w:noProof w:val="0"/>
          <w:sz w:val="22"/>
        </w:rPr>
        <w:t xml:space="preserve">Shalahuddin, S., Aswan, A., Abdullah, A. S., Jimainal, M. N. H., &amp; Yusof, N. A. (2025). Digital literacy and ict-based supervision in shaping work discipline in coastal public organizations. </w:t>
      </w:r>
      <w:r w:rsidRPr="00DD4652">
        <w:rPr>
          <w:i/>
          <w:noProof w:val="0"/>
          <w:sz w:val="22"/>
        </w:rPr>
        <w:lastRenderedPageBreak/>
        <w:t>Jurnal Relevansi: Ekonomi, Manajemen dan Bisnis, 9</w:t>
      </w:r>
      <w:r w:rsidRPr="00DD4652">
        <w:rPr>
          <w:noProof w:val="0"/>
          <w:sz w:val="22"/>
        </w:rPr>
        <w:t>(2), 400-412. doi:</w:t>
      </w:r>
      <w:hyperlink r:id="rId48" w:history="1">
        <w:r w:rsidRPr="00DD4652">
          <w:rPr>
            <w:rStyle w:val="Hyperlink"/>
            <w:noProof w:val="0"/>
            <w:sz w:val="22"/>
          </w:rPr>
          <w:t>https://doi.org/10.61401/relevansi.v9i2.417</w:t>
        </w:r>
        <w:bookmarkEnd w:id="37"/>
      </w:hyperlink>
    </w:p>
    <w:p w14:paraId="2F6F3B79" w14:textId="00F5489B" w:rsidR="0051042F" w:rsidRPr="00DD4652" w:rsidRDefault="0051042F" w:rsidP="0051042F">
      <w:pPr>
        <w:pStyle w:val="EndNoteBibliography"/>
        <w:ind w:left="720" w:hanging="720"/>
        <w:rPr>
          <w:noProof w:val="0"/>
          <w:sz w:val="22"/>
        </w:rPr>
      </w:pPr>
      <w:bookmarkStart w:id="38" w:name="_ENREF_38"/>
      <w:r w:rsidRPr="00DD4652">
        <w:rPr>
          <w:noProof w:val="0"/>
          <w:sz w:val="22"/>
        </w:rPr>
        <w:t xml:space="preserve">Song, J., Cao, W., &amp; Shan, Y. G. (2025). Green credit and bank’s risk-taking: evidence from China. </w:t>
      </w:r>
      <w:r w:rsidRPr="00DD4652">
        <w:rPr>
          <w:i/>
          <w:noProof w:val="0"/>
          <w:sz w:val="22"/>
        </w:rPr>
        <w:t>International Journal of Managerial Finance, 21</w:t>
      </w:r>
      <w:r w:rsidRPr="00DD4652">
        <w:rPr>
          <w:noProof w:val="0"/>
          <w:sz w:val="22"/>
        </w:rPr>
        <w:t>(1), 157-184. doi:</w:t>
      </w:r>
      <w:hyperlink r:id="rId49" w:history="1">
        <w:r w:rsidRPr="00DD4652">
          <w:rPr>
            <w:rStyle w:val="Hyperlink"/>
            <w:noProof w:val="0"/>
            <w:sz w:val="22"/>
          </w:rPr>
          <w:t>https://doi.org/10.1108/IJMF-03-2024-0144</w:t>
        </w:r>
        <w:bookmarkEnd w:id="38"/>
      </w:hyperlink>
    </w:p>
    <w:p w14:paraId="193A239D" w14:textId="77777777" w:rsidR="0051042F" w:rsidRPr="00DD4652" w:rsidRDefault="0051042F" w:rsidP="0051042F">
      <w:pPr>
        <w:pStyle w:val="EndNoteBibliography"/>
        <w:ind w:left="720" w:hanging="720"/>
        <w:rPr>
          <w:noProof w:val="0"/>
          <w:sz w:val="22"/>
        </w:rPr>
      </w:pPr>
      <w:bookmarkStart w:id="39" w:name="_ENREF_39"/>
      <w:r w:rsidRPr="00DD4652">
        <w:rPr>
          <w:noProof w:val="0"/>
          <w:sz w:val="22"/>
        </w:rPr>
        <w:t xml:space="preserve">Spence, M. (1978). Job market signaling </w:t>
      </w:r>
      <w:r w:rsidRPr="00DD4652">
        <w:rPr>
          <w:i/>
          <w:noProof w:val="0"/>
          <w:sz w:val="22"/>
        </w:rPr>
        <w:t>Uncertainty in economics</w:t>
      </w:r>
      <w:r w:rsidRPr="00DD4652">
        <w:rPr>
          <w:noProof w:val="0"/>
          <w:sz w:val="22"/>
        </w:rPr>
        <w:t xml:space="preserve"> (pp. 281-306): Elsevier.</w:t>
      </w:r>
      <w:bookmarkEnd w:id="39"/>
    </w:p>
    <w:p w14:paraId="7CD9D364" w14:textId="7FC47871" w:rsidR="0051042F" w:rsidRPr="00DD4652" w:rsidRDefault="0051042F" w:rsidP="0051042F">
      <w:pPr>
        <w:pStyle w:val="EndNoteBibliography"/>
        <w:ind w:left="720" w:hanging="720"/>
        <w:rPr>
          <w:noProof w:val="0"/>
          <w:sz w:val="22"/>
        </w:rPr>
      </w:pPr>
      <w:bookmarkStart w:id="40" w:name="_ENREF_40"/>
      <w:r w:rsidRPr="00DD4652">
        <w:rPr>
          <w:noProof w:val="0"/>
          <w:sz w:val="22"/>
        </w:rPr>
        <w:t xml:space="preserve">Sutrisno, S., Widarjono, A., &amp; Hakim, A. (2024). The role of green credit in bank profitability and stability: a case study on green banking in Indonesia. </w:t>
      </w:r>
      <w:r w:rsidRPr="00DD4652">
        <w:rPr>
          <w:i/>
          <w:noProof w:val="0"/>
          <w:sz w:val="22"/>
        </w:rPr>
        <w:t>Risks, 12</w:t>
      </w:r>
      <w:r w:rsidRPr="00DD4652">
        <w:rPr>
          <w:noProof w:val="0"/>
          <w:sz w:val="22"/>
        </w:rPr>
        <w:t>(12), 198. doi:</w:t>
      </w:r>
      <w:hyperlink r:id="rId50" w:history="1">
        <w:r w:rsidRPr="00DD4652">
          <w:rPr>
            <w:rStyle w:val="Hyperlink"/>
            <w:noProof w:val="0"/>
            <w:sz w:val="22"/>
          </w:rPr>
          <w:t>https://doi.org/10.3390/risks12120198</w:t>
        </w:r>
        <w:bookmarkEnd w:id="40"/>
      </w:hyperlink>
    </w:p>
    <w:p w14:paraId="5DB5AA6E" w14:textId="3E0EF2C5" w:rsidR="0051042F" w:rsidRPr="00DD4652" w:rsidRDefault="0051042F" w:rsidP="0051042F">
      <w:pPr>
        <w:pStyle w:val="EndNoteBibliography"/>
        <w:ind w:left="720" w:hanging="720"/>
        <w:rPr>
          <w:noProof w:val="0"/>
          <w:sz w:val="22"/>
        </w:rPr>
      </w:pPr>
      <w:bookmarkStart w:id="41" w:name="_ENREF_41"/>
      <w:r w:rsidRPr="00DD4652">
        <w:rPr>
          <w:noProof w:val="0"/>
          <w:sz w:val="22"/>
        </w:rPr>
        <w:t xml:space="preserve">Tan, Y., &amp; Floros, C. (2012). Bank profitability and inflation: The case of China. </w:t>
      </w:r>
      <w:r w:rsidRPr="00DD4652">
        <w:rPr>
          <w:i/>
          <w:noProof w:val="0"/>
          <w:sz w:val="22"/>
        </w:rPr>
        <w:t>Journal of Economic studies, 39</w:t>
      </w:r>
      <w:r w:rsidRPr="00DD4652">
        <w:rPr>
          <w:noProof w:val="0"/>
          <w:sz w:val="22"/>
        </w:rPr>
        <w:t>(6), 675-696. doi:</w:t>
      </w:r>
      <w:hyperlink r:id="rId51" w:history="1">
        <w:r w:rsidRPr="00DD4652">
          <w:rPr>
            <w:rStyle w:val="Hyperlink"/>
            <w:noProof w:val="0"/>
            <w:sz w:val="22"/>
          </w:rPr>
          <w:t>https://doi.org/10.1108/01443581211274610</w:t>
        </w:r>
        <w:bookmarkEnd w:id="41"/>
      </w:hyperlink>
    </w:p>
    <w:p w14:paraId="248BAE42" w14:textId="24B86E05" w:rsidR="0051042F" w:rsidRPr="00DD4652" w:rsidRDefault="0051042F" w:rsidP="0051042F">
      <w:pPr>
        <w:pStyle w:val="EndNoteBibliography"/>
        <w:ind w:left="720" w:hanging="720"/>
        <w:rPr>
          <w:noProof w:val="0"/>
          <w:sz w:val="22"/>
        </w:rPr>
      </w:pPr>
      <w:bookmarkStart w:id="42" w:name="_ENREF_42"/>
      <w:r w:rsidRPr="00DD4652">
        <w:rPr>
          <w:noProof w:val="0"/>
          <w:sz w:val="22"/>
        </w:rPr>
        <w:t xml:space="preserve">Wu, S., &amp; Zhou, X. (2024). A theoretical framework for modeling dual-track granting orientation in green credit policy. </w:t>
      </w:r>
      <w:r w:rsidRPr="00DD4652">
        <w:rPr>
          <w:i/>
          <w:noProof w:val="0"/>
          <w:sz w:val="22"/>
        </w:rPr>
        <w:t>Economic Analysis and Policy, 81</w:t>
      </w:r>
      <w:r w:rsidRPr="00DD4652">
        <w:rPr>
          <w:noProof w:val="0"/>
          <w:sz w:val="22"/>
        </w:rPr>
        <w:t>, 249-268. doi:</w:t>
      </w:r>
      <w:hyperlink r:id="rId52" w:history="1">
        <w:r w:rsidRPr="00DD4652">
          <w:rPr>
            <w:rStyle w:val="Hyperlink"/>
            <w:noProof w:val="0"/>
            <w:sz w:val="22"/>
          </w:rPr>
          <w:t>https://doi.org/10.1016/j.eap.2023.11.035</w:t>
        </w:r>
        <w:bookmarkEnd w:id="42"/>
      </w:hyperlink>
    </w:p>
    <w:p w14:paraId="6019DE04" w14:textId="2CB64CE4" w:rsidR="0051042F" w:rsidRPr="00DD4652" w:rsidRDefault="0051042F" w:rsidP="0051042F">
      <w:pPr>
        <w:pStyle w:val="EndNoteBibliography"/>
        <w:ind w:left="720" w:hanging="720"/>
        <w:rPr>
          <w:noProof w:val="0"/>
          <w:sz w:val="22"/>
        </w:rPr>
      </w:pPr>
      <w:bookmarkStart w:id="43" w:name="_ENREF_43"/>
      <w:r w:rsidRPr="00DD4652">
        <w:rPr>
          <w:noProof w:val="0"/>
          <w:sz w:val="22"/>
        </w:rPr>
        <w:t xml:space="preserve">Yin, W., Zhu, Z., Kirkulak-Uludag, B., &amp; Zhu, Y. (2021). The determinants of green credit and its impact on the performance of Chinese banks. </w:t>
      </w:r>
      <w:r w:rsidRPr="00DD4652">
        <w:rPr>
          <w:i/>
          <w:noProof w:val="0"/>
          <w:sz w:val="22"/>
        </w:rPr>
        <w:t>Journal of Cleaner Production, 286</w:t>
      </w:r>
      <w:r w:rsidRPr="00DD4652">
        <w:rPr>
          <w:noProof w:val="0"/>
          <w:sz w:val="22"/>
        </w:rPr>
        <w:t>, 124991. doi:</w:t>
      </w:r>
      <w:hyperlink r:id="rId53" w:history="1">
        <w:r w:rsidRPr="00DD4652">
          <w:rPr>
            <w:rStyle w:val="Hyperlink"/>
            <w:noProof w:val="0"/>
            <w:sz w:val="22"/>
          </w:rPr>
          <w:t>https://doi.org/10.1016/j.jclepro.2020.124991</w:t>
        </w:r>
        <w:bookmarkEnd w:id="43"/>
      </w:hyperlink>
    </w:p>
    <w:p w14:paraId="1893E5EF" w14:textId="2D6CDC15" w:rsidR="0051042F" w:rsidRPr="00DD4652" w:rsidRDefault="0051042F" w:rsidP="0051042F">
      <w:pPr>
        <w:pStyle w:val="EndNoteBibliography"/>
        <w:ind w:left="720" w:hanging="720"/>
        <w:rPr>
          <w:noProof w:val="0"/>
          <w:sz w:val="22"/>
        </w:rPr>
      </w:pPr>
      <w:bookmarkStart w:id="44" w:name="_ENREF_44"/>
      <w:r w:rsidRPr="00DD4652">
        <w:rPr>
          <w:noProof w:val="0"/>
          <w:sz w:val="22"/>
        </w:rPr>
        <w:t>Zhang, D., &amp; Vigne, S. A. (2021). The causal effect on firm performance of China's financing</w:t>
      </w:r>
      <w:r w:rsidR="00B3266D">
        <w:rPr>
          <w:noProof w:val="0"/>
          <w:sz w:val="22"/>
        </w:rPr>
        <w:t>-</w:t>
      </w:r>
      <w:r w:rsidRPr="00DD4652">
        <w:rPr>
          <w:noProof w:val="0"/>
          <w:sz w:val="22"/>
        </w:rPr>
        <w:t xml:space="preserve">pollution emission reduction policy: Firm-level evidence. </w:t>
      </w:r>
      <w:r w:rsidRPr="00DD4652">
        <w:rPr>
          <w:i/>
          <w:noProof w:val="0"/>
          <w:sz w:val="22"/>
        </w:rPr>
        <w:t>Journal of Environmental Management, 279</w:t>
      </w:r>
      <w:r w:rsidRPr="00DD4652">
        <w:rPr>
          <w:noProof w:val="0"/>
          <w:sz w:val="22"/>
        </w:rPr>
        <w:t>, 111609. doi:</w:t>
      </w:r>
      <w:hyperlink r:id="rId54" w:history="1">
        <w:r w:rsidRPr="00DD4652">
          <w:rPr>
            <w:rStyle w:val="Hyperlink"/>
            <w:noProof w:val="0"/>
            <w:sz w:val="22"/>
          </w:rPr>
          <w:t>https://doi.org/10.1016/j.jenvman.2020.111609</w:t>
        </w:r>
        <w:bookmarkEnd w:id="44"/>
      </w:hyperlink>
    </w:p>
    <w:p w14:paraId="6581DEA2" w14:textId="0A630511" w:rsidR="00C0264A" w:rsidRPr="00917C19" w:rsidRDefault="000343D7" w:rsidP="00917C19">
      <w:pPr>
        <w:spacing w:line="240" w:lineRule="auto"/>
        <w:rPr>
          <w:sz w:val="22"/>
        </w:rPr>
      </w:pPr>
      <w:r w:rsidRPr="00DD4652">
        <w:rPr>
          <w:sz w:val="22"/>
        </w:rPr>
        <w:fldChar w:fldCharType="end"/>
      </w:r>
    </w:p>
    <w:sectPr w:rsidR="00C0264A" w:rsidRPr="00917C19" w:rsidSect="00686399">
      <w:headerReference w:type="default" r:id="rId55"/>
      <w:footerReference w:type="default" r:id="rId56"/>
      <w:pgSz w:w="11907" w:h="16840" w:code="9"/>
      <w:pgMar w:top="1701" w:right="1418" w:bottom="1418" w:left="1701" w:header="851" w:footer="851" w:gutter="0"/>
      <w:pgNumType w:start="5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3C1E" w14:textId="77777777" w:rsidR="00851EB6" w:rsidRPr="00DD4652" w:rsidRDefault="00851EB6" w:rsidP="006E1D59">
      <w:pPr>
        <w:spacing w:line="240" w:lineRule="auto"/>
      </w:pPr>
      <w:r w:rsidRPr="00DD4652">
        <w:separator/>
      </w:r>
    </w:p>
  </w:endnote>
  <w:endnote w:type="continuationSeparator" w:id="0">
    <w:p w14:paraId="16485980" w14:textId="77777777" w:rsidR="00851EB6" w:rsidRPr="00DD4652" w:rsidRDefault="00851EB6" w:rsidP="006E1D59">
      <w:pPr>
        <w:spacing w:line="240" w:lineRule="auto"/>
      </w:pPr>
      <w:r w:rsidRPr="00DD4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2E5F" w14:textId="77777777" w:rsidR="00EB7E18" w:rsidRPr="00DD4652" w:rsidRDefault="00EB7E18" w:rsidP="00972D2E">
    <w:pPr>
      <w:pStyle w:val="Footer"/>
      <w:pBdr>
        <w:bottom w:val="single" w:sz="6" w:space="1" w:color="auto"/>
      </w:pBdr>
      <w:jc w:val="right"/>
      <w:rPr>
        <w:sz w:val="12"/>
        <w:szCs w:val="12"/>
      </w:rPr>
    </w:pPr>
  </w:p>
  <w:p w14:paraId="64DEA802" w14:textId="244B4EB9" w:rsidR="00F11D18" w:rsidRPr="00DD4652" w:rsidRDefault="00E4555A" w:rsidP="00BD7629">
    <w:pPr>
      <w:jc w:val="right"/>
      <w:rPr>
        <w:sz w:val="20"/>
        <w:szCs w:val="20"/>
      </w:rPr>
    </w:pPr>
    <w:r w:rsidRPr="00DD4652">
      <w:rPr>
        <w:rFonts w:eastAsia="Times New Roman"/>
        <w:sz w:val="20"/>
        <w:szCs w:val="20"/>
      </w:rPr>
      <w:t>Green Credit, Non-Performing Loans, and Bank Profitability: Does Bank Size Matter?</w:t>
    </w:r>
    <w:r w:rsidR="002A7473" w:rsidRPr="00DD4652">
      <w:rPr>
        <w:rFonts w:eastAsia="Times New Roman"/>
        <w:sz w:val="20"/>
        <w:szCs w:val="20"/>
      </w:rPr>
      <w:t xml:space="preserve"> </w:t>
    </w:r>
    <w:r w:rsidR="00BD7629" w:rsidRPr="00DD4652">
      <w:rPr>
        <w:rFonts w:eastAsia="Times New Roman"/>
        <w:sz w:val="20"/>
        <w:szCs w:val="20"/>
      </w:rPr>
      <w:t xml:space="preserve">(Eunike </w:t>
    </w:r>
    <w:proofErr w:type="spellStart"/>
    <w:r w:rsidR="00BD7629" w:rsidRPr="00DD4652">
      <w:rPr>
        <w:rFonts w:eastAsia="Times New Roman"/>
        <w:sz w:val="20"/>
        <w:szCs w:val="20"/>
      </w:rPr>
      <w:t>Dwimilten</w:t>
    </w:r>
    <w:proofErr w:type="spellEnd"/>
    <w:r w:rsidR="00BD7629" w:rsidRPr="00DD4652">
      <w:rPr>
        <w:rFonts w:eastAsia="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07F74" w14:textId="77777777" w:rsidR="00851EB6" w:rsidRPr="00DD4652" w:rsidRDefault="00851EB6" w:rsidP="006E1D59">
      <w:pPr>
        <w:spacing w:line="240" w:lineRule="auto"/>
      </w:pPr>
      <w:r w:rsidRPr="00DD4652">
        <w:separator/>
      </w:r>
    </w:p>
  </w:footnote>
  <w:footnote w:type="continuationSeparator" w:id="0">
    <w:p w14:paraId="60D6A9BC" w14:textId="77777777" w:rsidR="00851EB6" w:rsidRPr="00DD4652" w:rsidRDefault="00851EB6" w:rsidP="006E1D59">
      <w:pPr>
        <w:spacing w:line="240" w:lineRule="auto"/>
      </w:pPr>
      <w:r w:rsidRPr="00DD4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9C4E" w14:textId="77777777" w:rsidR="00917C19" w:rsidRPr="00DD4652" w:rsidRDefault="00917C19" w:rsidP="00917C19">
    <w:pPr>
      <w:pStyle w:val="Header"/>
      <w:rPr>
        <w:b/>
        <w:i/>
        <w:sz w:val="20"/>
        <w:szCs w:val="20"/>
      </w:rPr>
    </w:pPr>
    <w:r w:rsidRPr="00DD4652">
      <w:rPr>
        <w:b/>
        <w:i/>
        <w:sz w:val="20"/>
        <w:szCs w:val="20"/>
      </w:rPr>
      <w:t>JURNAL RELEVANSI: EKONOMI, MANAJEMEN DAN BISNIS</w:t>
    </w:r>
  </w:p>
  <w:p w14:paraId="07785F9D" w14:textId="77777777" w:rsidR="00917C19" w:rsidRPr="00DD4652" w:rsidRDefault="00917C19" w:rsidP="00917C19">
    <w:pPr>
      <w:pStyle w:val="Header"/>
      <w:rPr>
        <w:i/>
        <w:sz w:val="20"/>
        <w:szCs w:val="20"/>
      </w:rPr>
    </w:pPr>
    <w:r w:rsidRPr="00DD4652">
      <w:rPr>
        <w:i/>
        <w:sz w:val="20"/>
        <w:szCs w:val="20"/>
      </w:rPr>
      <w:t>ISSN: 2622-0415</w:t>
    </w:r>
  </w:p>
  <w:p w14:paraId="27924A5A" w14:textId="44806313" w:rsidR="0036500E" w:rsidRPr="00DD4652" w:rsidRDefault="00917C19" w:rsidP="00917C19">
    <w:pPr>
      <w:pStyle w:val="Header"/>
      <w:pBdr>
        <w:bottom w:val="single" w:sz="4" w:space="1" w:color="D9D9D9"/>
      </w:pBdr>
      <w:tabs>
        <w:tab w:val="left" w:pos="1423"/>
        <w:tab w:val="right" w:pos="8788"/>
      </w:tabs>
      <w:rPr>
        <w:bCs/>
        <w:sz w:val="20"/>
        <w:szCs w:val="20"/>
      </w:rPr>
    </w:pPr>
    <w:r w:rsidRPr="00DD4652">
      <w:rPr>
        <w:sz w:val="20"/>
        <w:szCs w:val="20"/>
      </w:rPr>
      <w:tab/>
    </w:r>
    <w:r w:rsidRPr="00DD4652">
      <w:rPr>
        <w:sz w:val="20"/>
        <w:szCs w:val="20"/>
      </w:rPr>
      <w:tab/>
    </w:r>
    <w:r w:rsidRPr="00DD4652">
      <w:rPr>
        <w:noProof/>
      </w:rPr>
      <mc:AlternateContent>
        <mc:Choice Requires="wps">
          <w:drawing>
            <wp:anchor distT="0" distB="0" distL="114300" distR="114300" simplePos="0" relativeHeight="251659264" behindDoc="0" locked="0" layoutInCell="1" allowOverlap="1" wp14:anchorId="75E40CBD" wp14:editId="48C9B29C">
              <wp:simplePos x="0" y="0"/>
              <wp:positionH relativeFrom="column">
                <wp:posOffset>5383530</wp:posOffset>
              </wp:positionH>
              <wp:positionV relativeFrom="paragraph">
                <wp:posOffset>53340</wp:posOffset>
              </wp:positionV>
              <wp:extent cx="45720" cy="45720"/>
              <wp:effectExtent l="12700" t="12700" r="5080" b="5080"/>
              <wp:wrapNone/>
              <wp:docPr id="14275297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7D93D" id="Rectangle 1" o:spid="_x0000_s1026" style="position:absolute;margin-left:423.9pt;margin-top:4.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kHUgIAAPIEAAAOAAAAZHJzL2Uyb0RvYy54bWysVEtv2zAMvg/YfxB0X50E6R5GnSJo0WFA&#10;0BZoh55ZWYqNyaJGKXGyXz9KdtKs26mYD4Iovj9+9MXlrrNiqym06Co5PZtIoZ3CunXrSn5/vPnw&#10;WYoQwdVg0elK7nWQl4v37y56X+oZNmhrTYKDuFD2vpJNjL4siqAa3UE4Q68dKw1SB5FFWhc1Qc/R&#10;O1vMJpOPRY9Ue0KlQ+DX60EpFzm+MVrFO2OCjsJWkmuL+aR8PqezWFxAuSbwTavGMuANVXTQOk56&#10;DHUNEcSG2r9Cda0iDGjimcKuQGNapXMP3M108qqbhwa8zr0wOMEfYQr/L6y63T74e0qlB79C9SMw&#10;IkXvQ3nUJCGMNjtDXbLlwsUuo7g/oqh3USh+nJ9/mjHUijXDNUWE8uDqKcSvGjuRLpUkHlFGDrar&#10;EAfTg0muCm1b37TWZmEfriyJLfA0mQQ19o+cVQoLIbKCS8lfmipnDKeu1om+krPz+STVBkw1Y4Fd&#10;VefrSga3lgLsmjmsIuV6/vAOb0+cmrmG0AxV56hjfdalnnRm6dj7C9bp9oz1/p4E4UDb4NVNy9FW&#10;3O09EPOUW+Hdi3d8GIvcH443KRqkX/96T/ZMH9ZK0TPvufefGyDNIH5zTKwv0/k8LUoWxlHSqeb5&#10;VOM23RXyMKa85V7lKztTtIerIeyeeEWXKSurwCnOPaA8Cldx2EdecqWXy2zGy+EhrtyDVyl4winh&#10;+Lh7AvIjcyKP/hYPOwLlKwINtsnT4XIT0bSZXS+4jjznxcpsGX8CaXNP5Wz18qta/AYAAP//AwBQ&#10;SwMEFAAGAAgAAAAhANFeZe7YAAAACAEAAA8AAABkcnMvZG93bnJldi54bWxMj8FOwzAQRO9I/IO1&#10;SNyoU0RKFOJUCIHg2pYP2MRLHBGvo9hNwt+zPcFtRzOafVPtVz+omabYBzaw3WSgiNtge+4MfJ7e&#10;7gpQMSFbHAKTgR+KsK+vryosbVj4QPMxdUpKOJZowKU0llrH1pHHuAkjsXhfYfKYRE6dthMuUu4H&#10;fZ9lO+2xZ/ngcKQXR+338ewNfFjf5LNbXlfq3outtDUuHIy5vVmfn0AlWtNfGC74gg61MDXhzDaq&#10;wUDx8Cjo6XKAEr/Ic9nWSDDfga4r/X9A/QsAAP//AwBQSwECLQAUAAYACAAAACEAtoM4kv4AAADh&#10;AQAAEwAAAAAAAAAAAAAAAAAAAAAAW0NvbnRlbnRfVHlwZXNdLnhtbFBLAQItABQABgAIAAAAIQA4&#10;/SH/1gAAAJQBAAALAAAAAAAAAAAAAAAAAC8BAABfcmVscy8ucmVsc1BLAQItABQABgAIAAAAIQAj&#10;fakHUgIAAPIEAAAOAAAAAAAAAAAAAAAAAC4CAABkcnMvZTJvRG9jLnhtbFBLAQItABQABgAIAAAA&#10;IQDRXmXu2AAAAAgBAAAPAAAAAAAAAAAAAAAAAKwEAABkcnMvZG93bnJldi54bWxQSwUGAAAAAAQA&#10;BADzAAAAsQUAAAAA&#10;" fillcolor="windowText" strokecolor="windowText" strokeweight="2pt">
              <v:path arrowok="t"/>
            </v:rect>
          </w:pict>
        </mc:Fallback>
      </mc:AlternateContent>
    </w:r>
    <w:r w:rsidRPr="00DD4652">
      <w:rPr>
        <w:sz w:val="20"/>
        <w:szCs w:val="20"/>
      </w:rPr>
      <w:fldChar w:fldCharType="begin"/>
    </w:r>
    <w:r w:rsidRPr="00DD4652">
      <w:rPr>
        <w:sz w:val="20"/>
        <w:szCs w:val="20"/>
      </w:rPr>
      <w:instrText xml:space="preserve"> PAGE   \* MERGEFORMAT </w:instrText>
    </w:r>
    <w:r w:rsidRPr="00DD4652">
      <w:rPr>
        <w:sz w:val="20"/>
        <w:szCs w:val="20"/>
      </w:rPr>
      <w:fldChar w:fldCharType="separate"/>
    </w:r>
    <w:r w:rsidRPr="00DD4652">
      <w:rPr>
        <w:sz w:val="20"/>
        <w:szCs w:val="20"/>
      </w:rPr>
      <w:t>21</w:t>
    </w:r>
    <w:r w:rsidRPr="00DD4652">
      <w:rPr>
        <w:b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72FD"/>
    <w:multiLevelType w:val="multilevel"/>
    <w:tmpl w:val="FCEC750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654E12"/>
    <w:multiLevelType w:val="multilevel"/>
    <w:tmpl w:val="5118921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FE77FC"/>
    <w:multiLevelType w:val="hybridMultilevel"/>
    <w:tmpl w:val="81F07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B0745"/>
    <w:multiLevelType w:val="hybridMultilevel"/>
    <w:tmpl w:val="AADC6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939A2"/>
    <w:multiLevelType w:val="hybridMultilevel"/>
    <w:tmpl w:val="6C4C2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14B16"/>
    <w:multiLevelType w:val="multilevel"/>
    <w:tmpl w:val="B6E28264"/>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A1C299E"/>
    <w:multiLevelType w:val="hybridMultilevel"/>
    <w:tmpl w:val="B67E9F82"/>
    <w:lvl w:ilvl="0" w:tplc="CDE20364">
      <w:start w:val="1"/>
      <w:numFmt w:val="bullet"/>
      <w:lvlText w:val="•"/>
      <w:lvlJc w:val="left"/>
      <w:pPr>
        <w:ind w:left="720" w:hanging="360"/>
      </w:pPr>
    </w:lvl>
    <w:lvl w:ilvl="1" w:tplc="52A01ABE">
      <w:numFmt w:val="decimal"/>
      <w:lvlText w:val=""/>
      <w:lvlJc w:val="left"/>
    </w:lvl>
    <w:lvl w:ilvl="2" w:tplc="3EA6EE90">
      <w:numFmt w:val="decimal"/>
      <w:lvlText w:val=""/>
      <w:lvlJc w:val="left"/>
    </w:lvl>
    <w:lvl w:ilvl="3" w:tplc="BB6A4362">
      <w:numFmt w:val="decimal"/>
      <w:lvlText w:val=""/>
      <w:lvlJc w:val="left"/>
    </w:lvl>
    <w:lvl w:ilvl="4" w:tplc="55864F66">
      <w:numFmt w:val="decimal"/>
      <w:lvlText w:val=""/>
      <w:lvlJc w:val="left"/>
    </w:lvl>
    <w:lvl w:ilvl="5" w:tplc="7AFEDE50">
      <w:numFmt w:val="decimal"/>
      <w:lvlText w:val=""/>
      <w:lvlJc w:val="left"/>
    </w:lvl>
    <w:lvl w:ilvl="6" w:tplc="22D46FA2">
      <w:numFmt w:val="decimal"/>
      <w:lvlText w:val=""/>
      <w:lvlJc w:val="left"/>
    </w:lvl>
    <w:lvl w:ilvl="7" w:tplc="081EB5A4">
      <w:numFmt w:val="decimal"/>
      <w:lvlText w:val=""/>
      <w:lvlJc w:val="left"/>
    </w:lvl>
    <w:lvl w:ilvl="8" w:tplc="FDFC7A86">
      <w:numFmt w:val="decimal"/>
      <w:lvlText w:val=""/>
      <w:lvlJc w:val="left"/>
    </w:lvl>
  </w:abstractNum>
  <w:abstractNum w:abstractNumId="7" w15:restartNumberingAfterBreak="0">
    <w:nsid w:val="3D8B4F2D"/>
    <w:multiLevelType w:val="hybridMultilevel"/>
    <w:tmpl w:val="66D22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5D2588"/>
    <w:multiLevelType w:val="hybridMultilevel"/>
    <w:tmpl w:val="28A82974"/>
    <w:lvl w:ilvl="0" w:tplc="B98CB206">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E52E2"/>
    <w:multiLevelType w:val="hybridMultilevel"/>
    <w:tmpl w:val="E3282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903422"/>
    <w:multiLevelType w:val="multilevel"/>
    <w:tmpl w:val="5118921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F736830"/>
    <w:multiLevelType w:val="multilevel"/>
    <w:tmpl w:val="5118921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B890D04"/>
    <w:multiLevelType w:val="multilevel"/>
    <w:tmpl w:val="5118921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F065065"/>
    <w:multiLevelType w:val="multilevel"/>
    <w:tmpl w:val="5118921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30842097">
    <w:abstractNumId w:val="12"/>
  </w:num>
  <w:num w:numId="2" w16cid:durableId="1782532774">
    <w:abstractNumId w:val="2"/>
  </w:num>
  <w:num w:numId="3" w16cid:durableId="698625081">
    <w:abstractNumId w:val="5"/>
  </w:num>
  <w:num w:numId="4" w16cid:durableId="142241653">
    <w:abstractNumId w:val="7"/>
  </w:num>
  <w:num w:numId="5" w16cid:durableId="1685745295">
    <w:abstractNumId w:val="8"/>
  </w:num>
  <w:num w:numId="6" w16cid:durableId="716273023">
    <w:abstractNumId w:val="3"/>
  </w:num>
  <w:num w:numId="7" w16cid:durableId="796024641">
    <w:abstractNumId w:val="6"/>
    <w:lvlOverride w:ilvl="0">
      <w:startOverride w:val="1"/>
    </w:lvlOverride>
  </w:num>
  <w:num w:numId="8" w16cid:durableId="1970428028">
    <w:abstractNumId w:val="9"/>
  </w:num>
  <w:num w:numId="9" w16cid:durableId="1460802684">
    <w:abstractNumId w:val="0"/>
  </w:num>
  <w:num w:numId="10" w16cid:durableId="1306086391">
    <w:abstractNumId w:val="13"/>
  </w:num>
  <w:num w:numId="11" w16cid:durableId="1976568090">
    <w:abstractNumId w:val="10"/>
  </w:num>
  <w:num w:numId="12" w16cid:durableId="1382054876">
    <w:abstractNumId w:val="1"/>
  </w:num>
  <w:num w:numId="13" w16cid:durableId="2091006086">
    <w:abstractNumId w:val="4"/>
  </w:num>
  <w:num w:numId="14" w16cid:durableId="1848473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x5ezdazsa9zseqe5esy5zw9wxe95pawf2e0d&quot;&gt;My EndNote Library-Saved-Saved-Saved&lt;record-ids&gt;&lt;item&gt;808&lt;/item&gt;&lt;item&gt;810&lt;/item&gt;&lt;item&gt;3460&lt;/item&gt;&lt;item&gt;6026&lt;/item&gt;&lt;item&gt;8425&lt;/item&gt;&lt;item&gt;10222&lt;/item&gt;&lt;item&gt;10223&lt;/item&gt;&lt;item&gt;10224&lt;/item&gt;&lt;item&gt;10225&lt;/item&gt;&lt;item&gt;10226&lt;/item&gt;&lt;item&gt;10227&lt;/item&gt;&lt;item&gt;10228&lt;/item&gt;&lt;item&gt;10229&lt;/item&gt;&lt;item&gt;10230&lt;/item&gt;&lt;item&gt;10231&lt;/item&gt;&lt;item&gt;10232&lt;/item&gt;&lt;item&gt;10233&lt;/item&gt;&lt;item&gt;10234&lt;/item&gt;&lt;item&gt;10235&lt;/item&gt;&lt;item&gt;10236&lt;/item&gt;&lt;item&gt;10237&lt;/item&gt;&lt;item&gt;10238&lt;/item&gt;&lt;item&gt;10239&lt;/item&gt;&lt;item&gt;10240&lt;/item&gt;&lt;item&gt;10241&lt;/item&gt;&lt;item&gt;10242&lt;/item&gt;&lt;item&gt;10243&lt;/item&gt;&lt;item&gt;10245&lt;/item&gt;&lt;item&gt;10246&lt;/item&gt;&lt;item&gt;10248&lt;/item&gt;&lt;item&gt;10249&lt;/item&gt;&lt;item&gt;10250&lt;/item&gt;&lt;item&gt;10251&lt;/item&gt;&lt;item&gt;10252&lt;/item&gt;&lt;item&gt;10253&lt;/item&gt;&lt;item&gt;10254&lt;/item&gt;&lt;item&gt;10255&lt;/item&gt;&lt;item&gt;10256&lt;/item&gt;&lt;item&gt;10257&lt;/item&gt;&lt;item&gt;10258&lt;/item&gt;&lt;item&gt;10259&lt;/item&gt;&lt;item&gt;10260&lt;/item&gt;&lt;item&gt;10262&lt;/item&gt;&lt;item&gt;10263&lt;/item&gt;&lt;/record-ids&gt;&lt;/item&gt;&lt;/Libraries&gt;"/>
  </w:docVars>
  <w:rsids>
    <w:rsidRoot w:val="008D4663"/>
    <w:rsid w:val="0000167F"/>
    <w:rsid w:val="0000188C"/>
    <w:rsid w:val="00001E4A"/>
    <w:rsid w:val="0000218A"/>
    <w:rsid w:val="0000759E"/>
    <w:rsid w:val="00014128"/>
    <w:rsid w:val="00020032"/>
    <w:rsid w:val="00025D8A"/>
    <w:rsid w:val="000343D7"/>
    <w:rsid w:val="00037122"/>
    <w:rsid w:val="00037501"/>
    <w:rsid w:val="000377F1"/>
    <w:rsid w:val="0005555B"/>
    <w:rsid w:val="000742AB"/>
    <w:rsid w:val="0008211E"/>
    <w:rsid w:val="0009589A"/>
    <w:rsid w:val="000B4CC7"/>
    <w:rsid w:val="000C4C0A"/>
    <w:rsid w:val="000C6C7A"/>
    <w:rsid w:val="000D41A4"/>
    <w:rsid w:val="000D6618"/>
    <w:rsid w:val="000E1DF9"/>
    <w:rsid w:val="000F0758"/>
    <w:rsid w:val="000F6509"/>
    <w:rsid w:val="001037CF"/>
    <w:rsid w:val="001116B9"/>
    <w:rsid w:val="00115EB0"/>
    <w:rsid w:val="00116605"/>
    <w:rsid w:val="00120BC5"/>
    <w:rsid w:val="001226C1"/>
    <w:rsid w:val="001304BF"/>
    <w:rsid w:val="0013282B"/>
    <w:rsid w:val="00136EE2"/>
    <w:rsid w:val="00143337"/>
    <w:rsid w:val="001510D0"/>
    <w:rsid w:val="00163858"/>
    <w:rsid w:val="00180C90"/>
    <w:rsid w:val="0018634E"/>
    <w:rsid w:val="00194409"/>
    <w:rsid w:val="0019540A"/>
    <w:rsid w:val="001A20A8"/>
    <w:rsid w:val="001A6191"/>
    <w:rsid w:val="001B2D79"/>
    <w:rsid w:val="001B78B3"/>
    <w:rsid w:val="001C3F76"/>
    <w:rsid w:val="001C5FE9"/>
    <w:rsid w:val="001C669D"/>
    <w:rsid w:val="001D5871"/>
    <w:rsid w:val="001E0F21"/>
    <w:rsid w:val="00201803"/>
    <w:rsid w:val="00234E63"/>
    <w:rsid w:val="00247ACC"/>
    <w:rsid w:val="00247E15"/>
    <w:rsid w:val="00262F40"/>
    <w:rsid w:val="00263366"/>
    <w:rsid w:val="002634C3"/>
    <w:rsid w:val="00264D20"/>
    <w:rsid w:val="00266740"/>
    <w:rsid w:val="00267DF9"/>
    <w:rsid w:val="00272D30"/>
    <w:rsid w:val="0029735A"/>
    <w:rsid w:val="002A62CD"/>
    <w:rsid w:val="002A650C"/>
    <w:rsid w:val="002A69F7"/>
    <w:rsid w:val="002A6A4C"/>
    <w:rsid w:val="002A7473"/>
    <w:rsid w:val="002B297C"/>
    <w:rsid w:val="002B3672"/>
    <w:rsid w:val="002B5C93"/>
    <w:rsid w:val="002B61F0"/>
    <w:rsid w:val="002B74AB"/>
    <w:rsid w:val="002C18A0"/>
    <w:rsid w:val="002C24FA"/>
    <w:rsid w:val="002C3AF6"/>
    <w:rsid w:val="002D5020"/>
    <w:rsid w:val="002D5BF5"/>
    <w:rsid w:val="002D713B"/>
    <w:rsid w:val="002E00F0"/>
    <w:rsid w:val="002F6BA8"/>
    <w:rsid w:val="00301D14"/>
    <w:rsid w:val="00303897"/>
    <w:rsid w:val="00323CF6"/>
    <w:rsid w:val="00334E0D"/>
    <w:rsid w:val="00336E66"/>
    <w:rsid w:val="0034022B"/>
    <w:rsid w:val="00352D04"/>
    <w:rsid w:val="00356D73"/>
    <w:rsid w:val="003601C3"/>
    <w:rsid w:val="00360E43"/>
    <w:rsid w:val="003635B7"/>
    <w:rsid w:val="0036500E"/>
    <w:rsid w:val="00371225"/>
    <w:rsid w:val="00380765"/>
    <w:rsid w:val="00391B30"/>
    <w:rsid w:val="003A0861"/>
    <w:rsid w:val="003A509E"/>
    <w:rsid w:val="003B71F3"/>
    <w:rsid w:val="003E2513"/>
    <w:rsid w:val="003E7188"/>
    <w:rsid w:val="003F0723"/>
    <w:rsid w:val="003F21B2"/>
    <w:rsid w:val="003F6DD6"/>
    <w:rsid w:val="0042183D"/>
    <w:rsid w:val="00430263"/>
    <w:rsid w:val="00432863"/>
    <w:rsid w:val="00440AD8"/>
    <w:rsid w:val="00447B5B"/>
    <w:rsid w:val="004528F3"/>
    <w:rsid w:val="00454336"/>
    <w:rsid w:val="0045543E"/>
    <w:rsid w:val="00464915"/>
    <w:rsid w:val="00487915"/>
    <w:rsid w:val="004A0CF6"/>
    <w:rsid w:val="004A2A90"/>
    <w:rsid w:val="004B3E5C"/>
    <w:rsid w:val="004D7917"/>
    <w:rsid w:val="004E3A6C"/>
    <w:rsid w:val="005008AD"/>
    <w:rsid w:val="00505F6D"/>
    <w:rsid w:val="0051042F"/>
    <w:rsid w:val="00526A80"/>
    <w:rsid w:val="00527C2D"/>
    <w:rsid w:val="00544F66"/>
    <w:rsid w:val="005461C7"/>
    <w:rsid w:val="00557FEA"/>
    <w:rsid w:val="00566FDA"/>
    <w:rsid w:val="00567086"/>
    <w:rsid w:val="00584B3B"/>
    <w:rsid w:val="00587540"/>
    <w:rsid w:val="00592459"/>
    <w:rsid w:val="00595BF3"/>
    <w:rsid w:val="005A0F9F"/>
    <w:rsid w:val="005B2EC6"/>
    <w:rsid w:val="005C6E15"/>
    <w:rsid w:val="005E31E7"/>
    <w:rsid w:val="005E33E3"/>
    <w:rsid w:val="005F14D6"/>
    <w:rsid w:val="005F333F"/>
    <w:rsid w:val="005F3592"/>
    <w:rsid w:val="005F642F"/>
    <w:rsid w:val="006032FA"/>
    <w:rsid w:val="00612CE9"/>
    <w:rsid w:val="00626EAC"/>
    <w:rsid w:val="00640A70"/>
    <w:rsid w:val="006625F0"/>
    <w:rsid w:val="0067009A"/>
    <w:rsid w:val="006700C4"/>
    <w:rsid w:val="006714B8"/>
    <w:rsid w:val="00675923"/>
    <w:rsid w:val="00686399"/>
    <w:rsid w:val="006A0903"/>
    <w:rsid w:val="006A7A59"/>
    <w:rsid w:val="006C3096"/>
    <w:rsid w:val="006C5B3F"/>
    <w:rsid w:val="006D402D"/>
    <w:rsid w:val="006E1D59"/>
    <w:rsid w:val="006E595F"/>
    <w:rsid w:val="006E6027"/>
    <w:rsid w:val="006F1CF9"/>
    <w:rsid w:val="006F591B"/>
    <w:rsid w:val="00704DB1"/>
    <w:rsid w:val="007050F9"/>
    <w:rsid w:val="0071444E"/>
    <w:rsid w:val="00715505"/>
    <w:rsid w:val="00717CAF"/>
    <w:rsid w:val="00722B2B"/>
    <w:rsid w:val="00723628"/>
    <w:rsid w:val="00726277"/>
    <w:rsid w:val="007310FC"/>
    <w:rsid w:val="0073498C"/>
    <w:rsid w:val="00746F67"/>
    <w:rsid w:val="00766BA3"/>
    <w:rsid w:val="00781F7C"/>
    <w:rsid w:val="0078625C"/>
    <w:rsid w:val="0078778B"/>
    <w:rsid w:val="00787CA6"/>
    <w:rsid w:val="00790F48"/>
    <w:rsid w:val="00793993"/>
    <w:rsid w:val="007A07E4"/>
    <w:rsid w:val="007A2664"/>
    <w:rsid w:val="007A39C9"/>
    <w:rsid w:val="007A5C49"/>
    <w:rsid w:val="007A6562"/>
    <w:rsid w:val="007A7232"/>
    <w:rsid w:val="007B1B5B"/>
    <w:rsid w:val="007C0D9E"/>
    <w:rsid w:val="007C63EA"/>
    <w:rsid w:val="007C70CA"/>
    <w:rsid w:val="007D08A3"/>
    <w:rsid w:val="007D51F0"/>
    <w:rsid w:val="007F395D"/>
    <w:rsid w:val="007F656A"/>
    <w:rsid w:val="00802BE2"/>
    <w:rsid w:val="00803F22"/>
    <w:rsid w:val="008111DB"/>
    <w:rsid w:val="00811D12"/>
    <w:rsid w:val="00816AA3"/>
    <w:rsid w:val="008421AD"/>
    <w:rsid w:val="00844FAF"/>
    <w:rsid w:val="00851EB6"/>
    <w:rsid w:val="00877C67"/>
    <w:rsid w:val="00877CEE"/>
    <w:rsid w:val="0089285F"/>
    <w:rsid w:val="00895287"/>
    <w:rsid w:val="00896B3D"/>
    <w:rsid w:val="008A484D"/>
    <w:rsid w:val="008A7DA8"/>
    <w:rsid w:val="008B5812"/>
    <w:rsid w:val="008B6B23"/>
    <w:rsid w:val="008C1B5B"/>
    <w:rsid w:val="008C2330"/>
    <w:rsid w:val="008C277A"/>
    <w:rsid w:val="008C3748"/>
    <w:rsid w:val="008D0728"/>
    <w:rsid w:val="008D4663"/>
    <w:rsid w:val="008D7A92"/>
    <w:rsid w:val="008F002A"/>
    <w:rsid w:val="00910471"/>
    <w:rsid w:val="00917004"/>
    <w:rsid w:val="0091770E"/>
    <w:rsid w:val="00917C19"/>
    <w:rsid w:val="00920EDC"/>
    <w:rsid w:val="00923FF3"/>
    <w:rsid w:val="0093108F"/>
    <w:rsid w:val="00936FF9"/>
    <w:rsid w:val="00950E71"/>
    <w:rsid w:val="00950F0B"/>
    <w:rsid w:val="00955321"/>
    <w:rsid w:val="00963C34"/>
    <w:rsid w:val="00963F67"/>
    <w:rsid w:val="009713F5"/>
    <w:rsid w:val="00972D2E"/>
    <w:rsid w:val="0098118D"/>
    <w:rsid w:val="009A1FE0"/>
    <w:rsid w:val="009C3AA6"/>
    <w:rsid w:val="009D05C7"/>
    <w:rsid w:val="009D09A7"/>
    <w:rsid w:val="009D4114"/>
    <w:rsid w:val="009F6769"/>
    <w:rsid w:val="009F78E2"/>
    <w:rsid w:val="009F7D27"/>
    <w:rsid w:val="00A05E81"/>
    <w:rsid w:val="00A15085"/>
    <w:rsid w:val="00A30227"/>
    <w:rsid w:val="00A349AF"/>
    <w:rsid w:val="00A433F2"/>
    <w:rsid w:val="00A445E9"/>
    <w:rsid w:val="00A463E7"/>
    <w:rsid w:val="00A63354"/>
    <w:rsid w:val="00A72946"/>
    <w:rsid w:val="00A74221"/>
    <w:rsid w:val="00A92624"/>
    <w:rsid w:val="00A94C74"/>
    <w:rsid w:val="00AA1256"/>
    <w:rsid w:val="00AB1971"/>
    <w:rsid w:val="00AC6CB7"/>
    <w:rsid w:val="00AD35D5"/>
    <w:rsid w:val="00AD6B19"/>
    <w:rsid w:val="00AE6AFE"/>
    <w:rsid w:val="00AF0479"/>
    <w:rsid w:val="00AF0B1D"/>
    <w:rsid w:val="00AF3963"/>
    <w:rsid w:val="00AF768A"/>
    <w:rsid w:val="00B00C45"/>
    <w:rsid w:val="00B06828"/>
    <w:rsid w:val="00B06C81"/>
    <w:rsid w:val="00B07B43"/>
    <w:rsid w:val="00B153C5"/>
    <w:rsid w:val="00B16A52"/>
    <w:rsid w:val="00B173EA"/>
    <w:rsid w:val="00B23CCB"/>
    <w:rsid w:val="00B26DD4"/>
    <w:rsid w:val="00B3266D"/>
    <w:rsid w:val="00B32A7D"/>
    <w:rsid w:val="00B40116"/>
    <w:rsid w:val="00B418AB"/>
    <w:rsid w:val="00B5317C"/>
    <w:rsid w:val="00B561A0"/>
    <w:rsid w:val="00B636F6"/>
    <w:rsid w:val="00B70848"/>
    <w:rsid w:val="00B736E2"/>
    <w:rsid w:val="00B7749E"/>
    <w:rsid w:val="00B800FA"/>
    <w:rsid w:val="00B92EA6"/>
    <w:rsid w:val="00B941D1"/>
    <w:rsid w:val="00BB09E6"/>
    <w:rsid w:val="00BC434E"/>
    <w:rsid w:val="00BC755E"/>
    <w:rsid w:val="00BD7629"/>
    <w:rsid w:val="00BE2251"/>
    <w:rsid w:val="00BE6127"/>
    <w:rsid w:val="00BF58C8"/>
    <w:rsid w:val="00C0264A"/>
    <w:rsid w:val="00C077D1"/>
    <w:rsid w:val="00C154FF"/>
    <w:rsid w:val="00C1685C"/>
    <w:rsid w:val="00C22934"/>
    <w:rsid w:val="00C259BD"/>
    <w:rsid w:val="00C25B5D"/>
    <w:rsid w:val="00C3651E"/>
    <w:rsid w:val="00C42099"/>
    <w:rsid w:val="00C44268"/>
    <w:rsid w:val="00C5104E"/>
    <w:rsid w:val="00C51101"/>
    <w:rsid w:val="00C53BB4"/>
    <w:rsid w:val="00C627FE"/>
    <w:rsid w:val="00C62E52"/>
    <w:rsid w:val="00C73164"/>
    <w:rsid w:val="00C73DCD"/>
    <w:rsid w:val="00C75CB6"/>
    <w:rsid w:val="00C81172"/>
    <w:rsid w:val="00C84830"/>
    <w:rsid w:val="00C91935"/>
    <w:rsid w:val="00C945B4"/>
    <w:rsid w:val="00CA1021"/>
    <w:rsid w:val="00CA2180"/>
    <w:rsid w:val="00CA5D70"/>
    <w:rsid w:val="00CC3D38"/>
    <w:rsid w:val="00CE4F04"/>
    <w:rsid w:val="00CF0A11"/>
    <w:rsid w:val="00CF6F24"/>
    <w:rsid w:val="00CF70D4"/>
    <w:rsid w:val="00CF760D"/>
    <w:rsid w:val="00D15CCD"/>
    <w:rsid w:val="00D2026B"/>
    <w:rsid w:val="00D231D7"/>
    <w:rsid w:val="00D24D8B"/>
    <w:rsid w:val="00D35322"/>
    <w:rsid w:val="00D50A53"/>
    <w:rsid w:val="00D53992"/>
    <w:rsid w:val="00D639F7"/>
    <w:rsid w:val="00D7094F"/>
    <w:rsid w:val="00D73829"/>
    <w:rsid w:val="00D77113"/>
    <w:rsid w:val="00D83450"/>
    <w:rsid w:val="00D86769"/>
    <w:rsid w:val="00D90054"/>
    <w:rsid w:val="00D9332F"/>
    <w:rsid w:val="00D976CB"/>
    <w:rsid w:val="00DA22A8"/>
    <w:rsid w:val="00DA65A6"/>
    <w:rsid w:val="00DA693C"/>
    <w:rsid w:val="00DB4D46"/>
    <w:rsid w:val="00DB5097"/>
    <w:rsid w:val="00DD4652"/>
    <w:rsid w:val="00DE1C8E"/>
    <w:rsid w:val="00E14CFB"/>
    <w:rsid w:val="00E33E44"/>
    <w:rsid w:val="00E37FBA"/>
    <w:rsid w:val="00E43C9A"/>
    <w:rsid w:val="00E444AA"/>
    <w:rsid w:val="00E4555A"/>
    <w:rsid w:val="00E46780"/>
    <w:rsid w:val="00E51038"/>
    <w:rsid w:val="00E56488"/>
    <w:rsid w:val="00E575EB"/>
    <w:rsid w:val="00E71673"/>
    <w:rsid w:val="00E72BD8"/>
    <w:rsid w:val="00E87439"/>
    <w:rsid w:val="00E92851"/>
    <w:rsid w:val="00E928D7"/>
    <w:rsid w:val="00E97670"/>
    <w:rsid w:val="00EA23E2"/>
    <w:rsid w:val="00EA61DA"/>
    <w:rsid w:val="00EB18C4"/>
    <w:rsid w:val="00EB6381"/>
    <w:rsid w:val="00EB7505"/>
    <w:rsid w:val="00EB7E18"/>
    <w:rsid w:val="00ED21DE"/>
    <w:rsid w:val="00ED3332"/>
    <w:rsid w:val="00EF339C"/>
    <w:rsid w:val="00EF3E1D"/>
    <w:rsid w:val="00EF3F41"/>
    <w:rsid w:val="00F119BD"/>
    <w:rsid w:val="00F11D18"/>
    <w:rsid w:val="00F141D6"/>
    <w:rsid w:val="00F176DD"/>
    <w:rsid w:val="00F27823"/>
    <w:rsid w:val="00F40695"/>
    <w:rsid w:val="00F47710"/>
    <w:rsid w:val="00F55594"/>
    <w:rsid w:val="00F61767"/>
    <w:rsid w:val="00F62CAC"/>
    <w:rsid w:val="00F661A1"/>
    <w:rsid w:val="00F678C9"/>
    <w:rsid w:val="00F71852"/>
    <w:rsid w:val="00F74454"/>
    <w:rsid w:val="00F7726F"/>
    <w:rsid w:val="00F77C22"/>
    <w:rsid w:val="00F817C6"/>
    <w:rsid w:val="00F82B0D"/>
    <w:rsid w:val="00F975ED"/>
    <w:rsid w:val="00FA2052"/>
    <w:rsid w:val="00FA2D89"/>
    <w:rsid w:val="00FA4C73"/>
    <w:rsid w:val="00FB5415"/>
    <w:rsid w:val="00FC45DE"/>
    <w:rsid w:val="00FC52DD"/>
    <w:rsid w:val="00FC62EC"/>
    <w:rsid w:val="00FF0DA0"/>
    <w:rsid w:val="00FF67A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D8970"/>
  <w15:docId w15:val="{31F35577-A0B2-40EF-A240-9F9EBAAB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F67"/>
    <w:pPr>
      <w:spacing w:line="276" w:lineRule="auto"/>
    </w:pPr>
    <w:rPr>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paragraph" w:styleId="DocumentMap">
    <w:name w:val="Document Map"/>
    <w:basedOn w:val="Normal"/>
    <w:link w:val="DocumentMapChar"/>
    <w:uiPriority w:val="99"/>
    <w:semiHidden/>
    <w:unhideWhenUsed/>
    <w:rsid w:val="00A349A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349AF"/>
    <w:rPr>
      <w:rFonts w:ascii="Tahoma" w:hAnsi="Tahoma" w:cs="Tahoma"/>
      <w:sz w:val="16"/>
      <w:szCs w:val="16"/>
      <w:lang w:eastAsia="en-US"/>
    </w:rPr>
  </w:style>
  <w:style w:type="character" w:styleId="UnresolvedMention">
    <w:name w:val="Unresolved Mention"/>
    <w:basedOn w:val="DefaultParagraphFont"/>
    <w:uiPriority w:val="99"/>
    <w:semiHidden/>
    <w:unhideWhenUsed/>
    <w:rsid w:val="00C51101"/>
    <w:rPr>
      <w:color w:val="605E5C"/>
      <w:shd w:val="clear" w:color="auto" w:fill="E1DFDD"/>
    </w:rPr>
  </w:style>
  <w:style w:type="paragraph" w:customStyle="1" w:styleId="EndNoteBibliographyTitle">
    <w:name w:val="EndNote Bibliography Title"/>
    <w:basedOn w:val="Normal"/>
    <w:link w:val="EndNoteBibliographyTitleChar"/>
    <w:rsid w:val="008B5812"/>
    <w:pPr>
      <w:jc w:val="center"/>
    </w:pPr>
    <w:rPr>
      <w:noProof/>
    </w:rPr>
  </w:style>
  <w:style w:type="character" w:customStyle="1" w:styleId="EndNoteBibliographyTitleChar">
    <w:name w:val="EndNote Bibliography Title Char"/>
    <w:basedOn w:val="DefaultParagraphFont"/>
    <w:link w:val="EndNoteBibliographyTitle"/>
    <w:rsid w:val="008B5812"/>
    <w:rPr>
      <w:noProof/>
      <w:sz w:val="24"/>
      <w:szCs w:val="22"/>
      <w:lang w:val="en-US" w:eastAsia="en-US"/>
    </w:rPr>
  </w:style>
  <w:style w:type="paragraph" w:customStyle="1" w:styleId="EndNoteBibliography">
    <w:name w:val="EndNote Bibliography"/>
    <w:basedOn w:val="Normal"/>
    <w:link w:val="EndNoteBibliographyChar"/>
    <w:rsid w:val="008B5812"/>
    <w:pPr>
      <w:spacing w:line="240" w:lineRule="auto"/>
      <w:jc w:val="both"/>
    </w:pPr>
    <w:rPr>
      <w:noProof/>
    </w:rPr>
  </w:style>
  <w:style w:type="character" w:customStyle="1" w:styleId="EndNoteBibliographyChar">
    <w:name w:val="EndNote Bibliography Char"/>
    <w:basedOn w:val="DefaultParagraphFont"/>
    <w:link w:val="EndNoteBibliography"/>
    <w:rsid w:val="008B5812"/>
    <w:rPr>
      <w:noProof/>
      <w:sz w:val="24"/>
      <w:szCs w:val="22"/>
      <w:lang w:val="en-US" w:eastAsia="en-US"/>
    </w:rPr>
  </w:style>
  <w:style w:type="table" w:styleId="PlainTable2">
    <w:name w:val="Plain Table 2"/>
    <w:basedOn w:val="TableNormal"/>
    <w:uiPriority w:val="42"/>
    <w:rsid w:val="00025D8A"/>
    <w:rPr>
      <w:rFonts w:asciiTheme="minorHAnsi" w:eastAsiaTheme="minorHAnsi" w:hAnsiTheme="minorHAnsi" w:cstheme="minorBidi"/>
      <w:kern w:val="2"/>
      <w:sz w:val="24"/>
      <w:szCs w:val="24"/>
      <w:lang w:val="en-US"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06C81"/>
    <w:rPr>
      <w:rFonts w:asciiTheme="minorHAnsi" w:eastAsiaTheme="minorHAnsi" w:hAnsiTheme="minorHAnsi" w:cstheme="minorBid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264A"/>
    <w:rPr>
      <w:color w:val="666666"/>
    </w:rPr>
  </w:style>
  <w:style w:type="paragraph" w:styleId="Revision">
    <w:name w:val="Revision"/>
    <w:hidden/>
    <w:uiPriority w:val="99"/>
    <w:semiHidden/>
    <w:rsid w:val="00A94C74"/>
    <w:rPr>
      <w:sz w:val="24"/>
      <w:szCs w:val="22"/>
      <w:lang w:eastAsia="en-US"/>
    </w:rPr>
  </w:style>
  <w:style w:type="character" w:styleId="Strong">
    <w:name w:val="Strong"/>
    <w:basedOn w:val="DefaultParagraphFont"/>
    <w:uiPriority w:val="22"/>
    <w:qFormat/>
    <w:rsid w:val="002B5C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511">
      <w:marLeft w:val="480"/>
      <w:marRight w:val="0"/>
      <w:marTop w:val="0"/>
      <w:marBottom w:val="0"/>
      <w:divBdr>
        <w:top w:val="none" w:sz="0" w:space="0" w:color="auto"/>
        <w:left w:val="none" w:sz="0" w:space="0" w:color="auto"/>
        <w:bottom w:val="none" w:sz="0" w:space="0" w:color="auto"/>
        <w:right w:val="none" w:sz="0" w:space="0" w:color="auto"/>
      </w:divBdr>
    </w:div>
    <w:div w:id="26030882">
      <w:marLeft w:val="480"/>
      <w:marRight w:val="0"/>
      <w:marTop w:val="0"/>
      <w:marBottom w:val="0"/>
      <w:divBdr>
        <w:top w:val="none" w:sz="0" w:space="0" w:color="auto"/>
        <w:left w:val="none" w:sz="0" w:space="0" w:color="auto"/>
        <w:bottom w:val="none" w:sz="0" w:space="0" w:color="auto"/>
        <w:right w:val="none" w:sz="0" w:space="0" w:color="auto"/>
      </w:divBdr>
    </w:div>
    <w:div w:id="29381380">
      <w:marLeft w:val="480"/>
      <w:marRight w:val="0"/>
      <w:marTop w:val="0"/>
      <w:marBottom w:val="0"/>
      <w:divBdr>
        <w:top w:val="none" w:sz="0" w:space="0" w:color="auto"/>
        <w:left w:val="none" w:sz="0" w:space="0" w:color="auto"/>
        <w:bottom w:val="none" w:sz="0" w:space="0" w:color="auto"/>
        <w:right w:val="none" w:sz="0" w:space="0" w:color="auto"/>
      </w:divBdr>
    </w:div>
    <w:div w:id="29453715">
      <w:marLeft w:val="480"/>
      <w:marRight w:val="0"/>
      <w:marTop w:val="0"/>
      <w:marBottom w:val="0"/>
      <w:divBdr>
        <w:top w:val="none" w:sz="0" w:space="0" w:color="auto"/>
        <w:left w:val="none" w:sz="0" w:space="0" w:color="auto"/>
        <w:bottom w:val="none" w:sz="0" w:space="0" w:color="auto"/>
        <w:right w:val="none" w:sz="0" w:space="0" w:color="auto"/>
      </w:divBdr>
    </w:div>
    <w:div w:id="44451428">
      <w:marLeft w:val="480"/>
      <w:marRight w:val="0"/>
      <w:marTop w:val="0"/>
      <w:marBottom w:val="0"/>
      <w:divBdr>
        <w:top w:val="none" w:sz="0" w:space="0" w:color="auto"/>
        <w:left w:val="none" w:sz="0" w:space="0" w:color="auto"/>
        <w:bottom w:val="none" w:sz="0" w:space="0" w:color="auto"/>
        <w:right w:val="none" w:sz="0" w:space="0" w:color="auto"/>
      </w:divBdr>
    </w:div>
    <w:div w:id="54817619">
      <w:marLeft w:val="480"/>
      <w:marRight w:val="0"/>
      <w:marTop w:val="0"/>
      <w:marBottom w:val="0"/>
      <w:divBdr>
        <w:top w:val="none" w:sz="0" w:space="0" w:color="auto"/>
        <w:left w:val="none" w:sz="0" w:space="0" w:color="auto"/>
        <w:bottom w:val="none" w:sz="0" w:space="0" w:color="auto"/>
        <w:right w:val="none" w:sz="0" w:space="0" w:color="auto"/>
      </w:divBdr>
    </w:div>
    <w:div w:id="67776780">
      <w:marLeft w:val="480"/>
      <w:marRight w:val="0"/>
      <w:marTop w:val="0"/>
      <w:marBottom w:val="0"/>
      <w:divBdr>
        <w:top w:val="none" w:sz="0" w:space="0" w:color="auto"/>
        <w:left w:val="none" w:sz="0" w:space="0" w:color="auto"/>
        <w:bottom w:val="none" w:sz="0" w:space="0" w:color="auto"/>
        <w:right w:val="none" w:sz="0" w:space="0" w:color="auto"/>
      </w:divBdr>
    </w:div>
    <w:div w:id="77333526">
      <w:marLeft w:val="480"/>
      <w:marRight w:val="0"/>
      <w:marTop w:val="0"/>
      <w:marBottom w:val="0"/>
      <w:divBdr>
        <w:top w:val="none" w:sz="0" w:space="0" w:color="auto"/>
        <w:left w:val="none" w:sz="0" w:space="0" w:color="auto"/>
        <w:bottom w:val="none" w:sz="0" w:space="0" w:color="auto"/>
        <w:right w:val="none" w:sz="0" w:space="0" w:color="auto"/>
      </w:divBdr>
    </w:div>
    <w:div w:id="80026327">
      <w:marLeft w:val="480"/>
      <w:marRight w:val="0"/>
      <w:marTop w:val="0"/>
      <w:marBottom w:val="0"/>
      <w:divBdr>
        <w:top w:val="none" w:sz="0" w:space="0" w:color="auto"/>
        <w:left w:val="none" w:sz="0" w:space="0" w:color="auto"/>
        <w:bottom w:val="none" w:sz="0" w:space="0" w:color="auto"/>
        <w:right w:val="none" w:sz="0" w:space="0" w:color="auto"/>
      </w:divBdr>
    </w:div>
    <w:div w:id="83572057">
      <w:marLeft w:val="480"/>
      <w:marRight w:val="0"/>
      <w:marTop w:val="0"/>
      <w:marBottom w:val="0"/>
      <w:divBdr>
        <w:top w:val="none" w:sz="0" w:space="0" w:color="auto"/>
        <w:left w:val="none" w:sz="0" w:space="0" w:color="auto"/>
        <w:bottom w:val="none" w:sz="0" w:space="0" w:color="auto"/>
        <w:right w:val="none" w:sz="0" w:space="0" w:color="auto"/>
      </w:divBdr>
    </w:div>
    <w:div w:id="95685407">
      <w:marLeft w:val="480"/>
      <w:marRight w:val="0"/>
      <w:marTop w:val="0"/>
      <w:marBottom w:val="0"/>
      <w:divBdr>
        <w:top w:val="none" w:sz="0" w:space="0" w:color="auto"/>
        <w:left w:val="none" w:sz="0" w:space="0" w:color="auto"/>
        <w:bottom w:val="none" w:sz="0" w:space="0" w:color="auto"/>
        <w:right w:val="none" w:sz="0" w:space="0" w:color="auto"/>
      </w:divBdr>
    </w:div>
    <w:div w:id="101460578">
      <w:marLeft w:val="480"/>
      <w:marRight w:val="0"/>
      <w:marTop w:val="0"/>
      <w:marBottom w:val="0"/>
      <w:divBdr>
        <w:top w:val="none" w:sz="0" w:space="0" w:color="auto"/>
        <w:left w:val="none" w:sz="0" w:space="0" w:color="auto"/>
        <w:bottom w:val="none" w:sz="0" w:space="0" w:color="auto"/>
        <w:right w:val="none" w:sz="0" w:space="0" w:color="auto"/>
      </w:divBdr>
    </w:div>
    <w:div w:id="102503628">
      <w:marLeft w:val="480"/>
      <w:marRight w:val="0"/>
      <w:marTop w:val="0"/>
      <w:marBottom w:val="0"/>
      <w:divBdr>
        <w:top w:val="none" w:sz="0" w:space="0" w:color="auto"/>
        <w:left w:val="none" w:sz="0" w:space="0" w:color="auto"/>
        <w:bottom w:val="none" w:sz="0" w:space="0" w:color="auto"/>
        <w:right w:val="none" w:sz="0" w:space="0" w:color="auto"/>
      </w:divBdr>
    </w:div>
    <w:div w:id="103809665">
      <w:marLeft w:val="480"/>
      <w:marRight w:val="0"/>
      <w:marTop w:val="0"/>
      <w:marBottom w:val="0"/>
      <w:divBdr>
        <w:top w:val="none" w:sz="0" w:space="0" w:color="auto"/>
        <w:left w:val="none" w:sz="0" w:space="0" w:color="auto"/>
        <w:bottom w:val="none" w:sz="0" w:space="0" w:color="auto"/>
        <w:right w:val="none" w:sz="0" w:space="0" w:color="auto"/>
      </w:divBdr>
    </w:div>
    <w:div w:id="105545470">
      <w:marLeft w:val="480"/>
      <w:marRight w:val="0"/>
      <w:marTop w:val="0"/>
      <w:marBottom w:val="0"/>
      <w:divBdr>
        <w:top w:val="none" w:sz="0" w:space="0" w:color="auto"/>
        <w:left w:val="none" w:sz="0" w:space="0" w:color="auto"/>
        <w:bottom w:val="none" w:sz="0" w:space="0" w:color="auto"/>
        <w:right w:val="none" w:sz="0" w:space="0" w:color="auto"/>
      </w:divBdr>
    </w:div>
    <w:div w:id="138496651">
      <w:marLeft w:val="480"/>
      <w:marRight w:val="0"/>
      <w:marTop w:val="0"/>
      <w:marBottom w:val="0"/>
      <w:divBdr>
        <w:top w:val="none" w:sz="0" w:space="0" w:color="auto"/>
        <w:left w:val="none" w:sz="0" w:space="0" w:color="auto"/>
        <w:bottom w:val="none" w:sz="0" w:space="0" w:color="auto"/>
        <w:right w:val="none" w:sz="0" w:space="0" w:color="auto"/>
      </w:divBdr>
    </w:div>
    <w:div w:id="139002684">
      <w:marLeft w:val="480"/>
      <w:marRight w:val="0"/>
      <w:marTop w:val="0"/>
      <w:marBottom w:val="0"/>
      <w:divBdr>
        <w:top w:val="none" w:sz="0" w:space="0" w:color="auto"/>
        <w:left w:val="none" w:sz="0" w:space="0" w:color="auto"/>
        <w:bottom w:val="none" w:sz="0" w:space="0" w:color="auto"/>
        <w:right w:val="none" w:sz="0" w:space="0" w:color="auto"/>
      </w:divBdr>
    </w:div>
    <w:div w:id="144050507">
      <w:marLeft w:val="480"/>
      <w:marRight w:val="0"/>
      <w:marTop w:val="0"/>
      <w:marBottom w:val="0"/>
      <w:divBdr>
        <w:top w:val="none" w:sz="0" w:space="0" w:color="auto"/>
        <w:left w:val="none" w:sz="0" w:space="0" w:color="auto"/>
        <w:bottom w:val="none" w:sz="0" w:space="0" w:color="auto"/>
        <w:right w:val="none" w:sz="0" w:space="0" w:color="auto"/>
      </w:divBdr>
    </w:div>
    <w:div w:id="148136813">
      <w:marLeft w:val="480"/>
      <w:marRight w:val="0"/>
      <w:marTop w:val="0"/>
      <w:marBottom w:val="0"/>
      <w:divBdr>
        <w:top w:val="none" w:sz="0" w:space="0" w:color="auto"/>
        <w:left w:val="none" w:sz="0" w:space="0" w:color="auto"/>
        <w:bottom w:val="none" w:sz="0" w:space="0" w:color="auto"/>
        <w:right w:val="none" w:sz="0" w:space="0" w:color="auto"/>
      </w:divBdr>
    </w:div>
    <w:div w:id="163398190">
      <w:marLeft w:val="480"/>
      <w:marRight w:val="0"/>
      <w:marTop w:val="0"/>
      <w:marBottom w:val="0"/>
      <w:divBdr>
        <w:top w:val="none" w:sz="0" w:space="0" w:color="auto"/>
        <w:left w:val="none" w:sz="0" w:space="0" w:color="auto"/>
        <w:bottom w:val="none" w:sz="0" w:space="0" w:color="auto"/>
        <w:right w:val="none" w:sz="0" w:space="0" w:color="auto"/>
      </w:divBdr>
    </w:div>
    <w:div w:id="165172583">
      <w:marLeft w:val="480"/>
      <w:marRight w:val="0"/>
      <w:marTop w:val="0"/>
      <w:marBottom w:val="0"/>
      <w:divBdr>
        <w:top w:val="none" w:sz="0" w:space="0" w:color="auto"/>
        <w:left w:val="none" w:sz="0" w:space="0" w:color="auto"/>
        <w:bottom w:val="none" w:sz="0" w:space="0" w:color="auto"/>
        <w:right w:val="none" w:sz="0" w:space="0" w:color="auto"/>
      </w:divBdr>
    </w:div>
    <w:div w:id="183441091">
      <w:marLeft w:val="480"/>
      <w:marRight w:val="0"/>
      <w:marTop w:val="0"/>
      <w:marBottom w:val="0"/>
      <w:divBdr>
        <w:top w:val="none" w:sz="0" w:space="0" w:color="auto"/>
        <w:left w:val="none" w:sz="0" w:space="0" w:color="auto"/>
        <w:bottom w:val="none" w:sz="0" w:space="0" w:color="auto"/>
        <w:right w:val="none" w:sz="0" w:space="0" w:color="auto"/>
      </w:divBdr>
    </w:div>
    <w:div w:id="183835574">
      <w:marLeft w:val="480"/>
      <w:marRight w:val="0"/>
      <w:marTop w:val="0"/>
      <w:marBottom w:val="0"/>
      <w:divBdr>
        <w:top w:val="none" w:sz="0" w:space="0" w:color="auto"/>
        <w:left w:val="none" w:sz="0" w:space="0" w:color="auto"/>
        <w:bottom w:val="none" w:sz="0" w:space="0" w:color="auto"/>
        <w:right w:val="none" w:sz="0" w:space="0" w:color="auto"/>
      </w:divBdr>
    </w:div>
    <w:div w:id="188571005">
      <w:marLeft w:val="480"/>
      <w:marRight w:val="0"/>
      <w:marTop w:val="0"/>
      <w:marBottom w:val="0"/>
      <w:divBdr>
        <w:top w:val="none" w:sz="0" w:space="0" w:color="auto"/>
        <w:left w:val="none" w:sz="0" w:space="0" w:color="auto"/>
        <w:bottom w:val="none" w:sz="0" w:space="0" w:color="auto"/>
        <w:right w:val="none" w:sz="0" w:space="0" w:color="auto"/>
      </w:divBdr>
    </w:div>
    <w:div w:id="201137334">
      <w:marLeft w:val="480"/>
      <w:marRight w:val="0"/>
      <w:marTop w:val="0"/>
      <w:marBottom w:val="0"/>
      <w:divBdr>
        <w:top w:val="none" w:sz="0" w:space="0" w:color="auto"/>
        <w:left w:val="none" w:sz="0" w:space="0" w:color="auto"/>
        <w:bottom w:val="none" w:sz="0" w:space="0" w:color="auto"/>
        <w:right w:val="none" w:sz="0" w:space="0" w:color="auto"/>
      </w:divBdr>
    </w:div>
    <w:div w:id="202906837">
      <w:marLeft w:val="480"/>
      <w:marRight w:val="0"/>
      <w:marTop w:val="0"/>
      <w:marBottom w:val="0"/>
      <w:divBdr>
        <w:top w:val="none" w:sz="0" w:space="0" w:color="auto"/>
        <w:left w:val="none" w:sz="0" w:space="0" w:color="auto"/>
        <w:bottom w:val="none" w:sz="0" w:space="0" w:color="auto"/>
        <w:right w:val="none" w:sz="0" w:space="0" w:color="auto"/>
      </w:divBdr>
    </w:div>
    <w:div w:id="203908899">
      <w:marLeft w:val="480"/>
      <w:marRight w:val="0"/>
      <w:marTop w:val="0"/>
      <w:marBottom w:val="0"/>
      <w:divBdr>
        <w:top w:val="none" w:sz="0" w:space="0" w:color="auto"/>
        <w:left w:val="none" w:sz="0" w:space="0" w:color="auto"/>
        <w:bottom w:val="none" w:sz="0" w:space="0" w:color="auto"/>
        <w:right w:val="none" w:sz="0" w:space="0" w:color="auto"/>
      </w:divBdr>
    </w:div>
    <w:div w:id="207180570">
      <w:marLeft w:val="480"/>
      <w:marRight w:val="0"/>
      <w:marTop w:val="0"/>
      <w:marBottom w:val="0"/>
      <w:divBdr>
        <w:top w:val="none" w:sz="0" w:space="0" w:color="auto"/>
        <w:left w:val="none" w:sz="0" w:space="0" w:color="auto"/>
        <w:bottom w:val="none" w:sz="0" w:space="0" w:color="auto"/>
        <w:right w:val="none" w:sz="0" w:space="0" w:color="auto"/>
      </w:divBdr>
    </w:div>
    <w:div w:id="223368621">
      <w:marLeft w:val="480"/>
      <w:marRight w:val="0"/>
      <w:marTop w:val="0"/>
      <w:marBottom w:val="0"/>
      <w:divBdr>
        <w:top w:val="none" w:sz="0" w:space="0" w:color="auto"/>
        <w:left w:val="none" w:sz="0" w:space="0" w:color="auto"/>
        <w:bottom w:val="none" w:sz="0" w:space="0" w:color="auto"/>
        <w:right w:val="none" w:sz="0" w:space="0" w:color="auto"/>
      </w:divBdr>
    </w:div>
    <w:div w:id="233131005">
      <w:marLeft w:val="480"/>
      <w:marRight w:val="0"/>
      <w:marTop w:val="0"/>
      <w:marBottom w:val="0"/>
      <w:divBdr>
        <w:top w:val="none" w:sz="0" w:space="0" w:color="auto"/>
        <w:left w:val="none" w:sz="0" w:space="0" w:color="auto"/>
        <w:bottom w:val="none" w:sz="0" w:space="0" w:color="auto"/>
        <w:right w:val="none" w:sz="0" w:space="0" w:color="auto"/>
      </w:divBdr>
    </w:div>
    <w:div w:id="260114917">
      <w:marLeft w:val="480"/>
      <w:marRight w:val="0"/>
      <w:marTop w:val="0"/>
      <w:marBottom w:val="0"/>
      <w:divBdr>
        <w:top w:val="none" w:sz="0" w:space="0" w:color="auto"/>
        <w:left w:val="none" w:sz="0" w:space="0" w:color="auto"/>
        <w:bottom w:val="none" w:sz="0" w:space="0" w:color="auto"/>
        <w:right w:val="none" w:sz="0" w:space="0" w:color="auto"/>
      </w:divBdr>
    </w:div>
    <w:div w:id="277641839">
      <w:marLeft w:val="480"/>
      <w:marRight w:val="0"/>
      <w:marTop w:val="0"/>
      <w:marBottom w:val="0"/>
      <w:divBdr>
        <w:top w:val="none" w:sz="0" w:space="0" w:color="auto"/>
        <w:left w:val="none" w:sz="0" w:space="0" w:color="auto"/>
        <w:bottom w:val="none" w:sz="0" w:space="0" w:color="auto"/>
        <w:right w:val="none" w:sz="0" w:space="0" w:color="auto"/>
      </w:divBdr>
    </w:div>
    <w:div w:id="280235281">
      <w:marLeft w:val="480"/>
      <w:marRight w:val="0"/>
      <w:marTop w:val="0"/>
      <w:marBottom w:val="0"/>
      <w:divBdr>
        <w:top w:val="none" w:sz="0" w:space="0" w:color="auto"/>
        <w:left w:val="none" w:sz="0" w:space="0" w:color="auto"/>
        <w:bottom w:val="none" w:sz="0" w:space="0" w:color="auto"/>
        <w:right w:val="none" w:sz="0" w:space="0" w:color="auto"/>
      </w:divBdr>
    </w:div>
    <w:div w:id="287861338">
      <w:marLeft w:val="480"/>
      <w:marRight w:val="0"/>
      <w:marTop w:val="0"/>
      <w:marBottom w:val="0"/>
      <w:divBdr>
        <w:top w:val="none" w:sz="0" w:space="0" w:color="auto"/>
        <w:left w:val="none" w:sz="0" w:space="0" w:color="auto"/>
        <w:bottom w:val="none" w:sz="0" w:space="0" w:color="auto"/>
        <w:right w:val="none" w:sz="0" w:space="0" w:color="auto"/>
      </w:divBdr>
    </w:div>
    <w:div w:id="293563167">
      <w:marLeft w:val="480"/>
      <w:marRight w:val="0"/>
      <w:marTop w:val="0"/>
      <w:marBottom w:val="0"/>
      <w:divBdr>
        <w:top w:val="none" w:sz="0" w:space="0" w:color="auto"/>
        <w:left w:val="none" w:sz="0" w:space="0" w:color="auto"/>
        <w:bottom w:val="none" w:sz="0" w:space="0" w:color="auto"/>
        <w:right w:val="none" w:sz="0" w:space="0" w:color="auto"/>
      </w:divBdr>
    </w:div>
    <w:div w:id="297036188">
      <w:marLeft w:val="480"/>
      <w:marRight w:val="0"/>
      <w:marTop w:val="0"/>
      <w:marBottom w:val="0"/>
      <w:divBdr>
        <w:top w:val="none" w:sz="0" w:space="0" w:color="auto"/>
        <w:left w:val="none" w:sz="0" w:space="0" w:color="auto"/>
        <w:bottom w:val="none" w:sz="0" w:space="0" w:color="auto"/>
        <w:right w:val="none" w:sz="0" w:space="0" w:color="auto"/>
      </w:divBdr>
    </w:div>
    <w:div w:id="300426595">
      <w:marLeft w:val="480"/>
      <w:marRight w:val="0"/>
      <w:marTop w:val="0"/>
      <w:marBottom w:val="0"/>
      <w:divBdr>
        <w:top w:val="none" w:sz="0" w:space="0" w:color="auto"/>
        <w:left w:val="none" w:sz="0" w:space="0" w:color="auto"/>
        <w:bottom w:val="none" w:sz="0" w:space="0" w:color="auto"/>
        <w:right w:val="none" w:sz="0" w:space="0" w:color="auto"/>
      </w:divBdr>
    </w:div>
    <w:div w:id="300505744">
      <w:marLeft w:val="480"/>
      <w:marRight w:val="0"/>
      <w:marTop w:val="0"/>
      <w:marBottom w:val="0"/>
      <w:divBdr>
        <w:top w:val="none" w:sz="0" w:space="0" w:color="auto"/>
        <w:left w:val="none" w:sz="0" w:space="0" w:color="auto"/>
        <w:bottom w:val="none" w:sz="0" w:space="0" w:color="auto"/>
        <w:right w:val="none" w:sz="0" w:space="0" w:color="auto"/>
      </w:divBdr>
    </w:div>
    <w:div w:id="303121223">
      <w:marLeft w:val="480"/>
      <w:marRight w:val="0"/>
      <w:marTop w:val="0"/>
      <w:marBottom w:val="0"/>
      <w:divBdr>
        <w:top w:val="none" w:sz="0" w:space="0" w:color="auto"/>
        <w:left w:val="none" w:sz="0" w:space="0" w:color="auto"/>
        <w:bottom w:val="none" w:sz="0" w:space="0" w:color="auto"/>
        <w:right w:val="none" w:sz="0" w:space="0" w:color="auto"/>
      </w:divBdr>
    </w:div>
    <w:div w:id="304817116">
      <w:marLeft w:val="480"/>
      <w:marRight w:val="0"/>
      <w:marTop w:val="0"/>
      <w:marBottom w:val="0"/>
      <w:divBdr>
        <w:top w:val="none" w:sz="0" w:space="0" w:color="auto"/>
        <w:left w:val="none" w:sz="0" w:space="0" w:color="auto"/>
        <w:bottom w:val="none" w:sz="0" w:space="0" w:color="auto"/>
        <w:right w:val="none" w:sz="0" w:space="0" w:color="auto"/>
      </w:divBdr>
    </w:div>
    <w:div w:id="307631026">
      <w:marLeft w:val="480"/>
      <w:marRight w:val="0"/>
      <w:marTop w:val="0"/>
      <w:marBottom w:val="0"/>
      <w:divBdr>
        <w:top w:val="none" w:sz="0" w:space="0" w:color="auto"/>
        <w:left w:val="none" w:sz="0" w:space="0" w:color="auto"/>
        <w:bottom w:val="none" w:sz="0" w:space="0" w:color="auto"/>
        <w:right w:val="none" w:sz="0" w:space="0" w:color="auto"/>
      </w:divBdr>
    </w:div>
    <w:div w:id="321154622">
      <w:marLeft w:val="480"/>
      <w:marRight w:val="0"/>
      <w:marTop w:val="0"/>
      <w:marBottom w:val="0"/>
      <w:divBdr>
        <w:top w:val="none" w:sz="0" w:space="0" w:color="auto"/>
        <w:left w:val="none" w:sz="0" w:space="0" w:color="auto"/>
        <w:bottom w:val="none" w:sz="0" w:space="0" w:color="auto"/>
        <w:right w:val="none" w:sz="0" w:space="0" w:color="auto"/>
      </w:divBdr>
    </w:div>
    <w:div w:id="331876200">
      <w:marLeft w:val="480"/>
      <w:marRight w:val="0"/>
      <w:marTop w:val="0"/>
      <w:marBottom w:val="0"/>
      <w:divBdr>
        <w:top w:val="none" w:sz="0" w:space="0" w:color="auto"/>
        <w:left w:val="none" w:sz="0" w:space="0" w:color="auto"/>
        <w:bottom w:val="none" w:sz="0" w:space="0" w:color="auto"/>
        <w:right w:val="none" w:sz="0" w:space="0" w:color="auto"/>
      </w:divBdr>
    </w:div>
    <w:div w:id="335232075">
      <w:marLeft w:val="480"/>
      <w:marRight w:val="0"/>
      <w:marTop w:val="0"/>
      <w:marBottom w:val="0"/>
      <w:divBdr>
        <w:top w:val="none" w:sz="0" w:space="0" w:color="auto"/>
        <w:left w:val="none" w:sz="0" w:space="0" w:color="auto"/>
        <w:bottom w:val="none" w:sz="0" w:space="0" w:color="auto"/>
        <w:right w:val="none" w:sz="0" w:space="0" w:color="auto"/>
      </w:divBdr>
    </w:div>
    <w:div w:id="344944016">
      <w:marLeft w:val="480"/>
      <w:marRight w:val="0"/>
      <w:marTop w:val="0"/>
      <w:marBottom w:val="0"/>
      <w:divBdr>
        <w:top w:val="none" w:sz="0" w:space="0" w:color="auto"/>
        <w:left w:val="none" w:sz="0" w:space="0" w:color="auto"/>
        <w:bottom w:val="none" w:sz="0" w:space="0" w:color="auto"/>
        <w:right w:val="none" w:sz="0" w:space="0" w:color="auto"/>
      </w:divBdr>
    </w:div>
    <w:div w:id="356126482">
      <w:marLeft w:val="480"/>
      <w:marRight w:val="0"/>
      <w:marTop w:val="0"/>
      <w:marBottom w:val="0"/>
      <w:divBdr>
        <w:top w:val="none" w:sz="0" w:space="0" w:color="auto"/>
        <w:left w:val="none" w:sz="0" w:space="0" w:color="auto"/>
        <w:bottom w:val="none" w:sz="0" w:space="0" w:color="auto"/>
        <w:right w:val="none" w:sz="0" w:space="0" w:color="auto"/>
      </w:divBdr>
    </w:div>
    <w:div w:id="358245520">
      <w:marLeft w:val="480"/>
      <w:marRight w:val="0"/>
      <w:marTop w:val="0"/>
      <w:marBottom w:val="0"/>
      <w:divBdr>
        <w:top w:val="none" w:sz="0" w:space="0" w:color="auto"/>
        <w:left w:val="none" w:sz="0" w:space="0" w:color="auto"/>
        <w:bottom w:val="none" w:sz="0" w:space="0" w:color="auto"/>
        <w:right w:val="none" w:sz="0" w:space="0" w:color="auto"/>
      </w:divBdr>
    </w:div>
    <w:div w:id="363676933">
      <w:marLeft w:val="480"/>
      <w:marRight w:val="0"/>
      <w:marTop w:val="0"/>
      <w:marBottom w:val="0"/>
      <w:divBdr>
        <w:top w:val="none" w:sz="0" w:space="0" w:color="auto"/>
        <w:left w:val="none" w:sz="0" w:space="0" w:color="auto"/>
        <w:bottom w:val="none" w:sz="0" w:space="0" w:color="auto"/>
        <w:right w:val="none" w:sz="0" w:space="0" w:color="auto"/>
      </w:divBdr>
    </w:div>
    <w:div w:id="386996375">
      <w:marLeft w:val="480"/>
      <w:marRight w:val="0"/>
      <w:marTop w:val="0"/>
      <w:marBottom w:val="0"/>
      <w:divBdr>
        <w:top w:val="none" w:sz="0" w:space="0" w:color="auto"/>
        <w:left w:val="none" w:sz="0" w:space="0" w:color="auto"/>
        <w:bottom w:val="none" w:sz="0" w:space="0" w:color="auto"/>
        <w:right w:val="none" w:sz="0" w:space="0" w:color="auto"/>
      </w:divBdr>
    </w:div>
    <w:div w:id="388844268">
      <w:marLeft w:val="480"/>
      <w:marRight w:val="0"/>
      <w:marTop w:val="0"/>
      <w:marBottom w:val="0"/>
      <w:divBdr>
        <w:top w:val="none" w:sz="0" w:space="0" w:color="auto"/>
        <w:left w:val="none" w:sz="0" w:space="0" w:color="auto"/>
        <w:bottom w:val="none" w:sz="0" w:space="0" w:color="auto"/>
        <w:right w:val="none" w:sz="0" w:space="0" w:color="auto"/>
      </w:divBdr>
    </w:div>
    <w:div w:id="391854815">
      <w:marLeft w:val="480"/>
      <w:marRight w:val="0"/>
      <w:marTop w:val="0"/>
      <w:marBottom w:val="0"/>
      <w:divBdr>
        <w:top w:val="none" w:sz="0" w:space="0" w:color="auto"/>
        <w:left w:val="none" w:sz="0" w:space="0" w:color="auto"/>
        <w:bottom w:val="none" w:sz="0" w:space="0" w:color="auto"/>
        <w:right w:val="none" w:sz="0" w:space="0" w:color="auto"/>
      </w:divBdr>
    </w:div>
    <w:div w:id="394934893">
      <w:marLeft w:val="480"/>
      <w:marRight w:val="0"/>
      <w:marTop w:val="0"/>
      <w:marBottom w:val="0"/>
      <w:divBdr>
        <w:top w:val="none" w:sz="0" w:space="0" w:color="auto"/>
        <w:left w:val="none" w:sz="0" w:space="0" w:color="auto"/>
        <w:bottom w:val="none" w:sz="0" w:space="0" w:color="auto"/>
        <w:right w:val="none" w:sz="0" w:space="0" w:color="auto"/>
      </w:divBdr>
    </w:div>
    <w:div w:id="405152410">
      <w:marLeft w:val="480"/>
      <w:marRight w:val="0"/>
      <w:marTop w:val="0"/>
      <w:marBottom w:val="0"/>
      <w:divBdr>
        <w:top w:val="none" w:sz="0" w:space="0" w:color="auto"/>
        <w:left w:val="none" w:sz="0" w:space="0" w:color="auto"/>
        <w:bottom w:val="none" w:sz="0" w:space="0" w:color="auto"/>
        <w:right w:val="none" w:sz="0" w:space="0" w:color="auto"/>
      </w:divBdr>
    </w:div>
    <w:div w:id="424570160">
      <w:marLeft w:val="480"/>
      <w:marRight w:val="0"/>
      <w:marTop w:val="0"/>
      <w:marBottom w:val="0"/>
      <w:divBdr>
        <w:top w:val="none" w:sz="0" w:space="0" w:color="auto"/>
        <w:left w:val="none" w:sz="0" w:space="0" w:color="auto"/>
        <w:bottom w:val="none" w:sz="0" w:space="0" w:color="auto"/>
        <w:right w:val="none" w:sz="0" w:space="0" w:color="auto"/>
      </w:divBdr>
    </w:div>
    <w:div w:id="425619890">
      <w:marLeft w:val="480"/>
      <w:marRight w:val="0"/>
      <w:marTop w:val="0"/>
      <w:marBottom w:val="0"/>
      <w:divBdr>
        <w:top w:val="none" w:sz="0" w:space="0" w:color="auto"/>
        <w:left w:val="none" w:sz="0" w:space="0" w:color="auto"/>
        <w:bottom w:val="none" w:sz="0" w:space="0" w:color="auto"/>
        <w:right w:val="none" w:sz="0" w:space="0" w:color="auto"/>
      </w:divBdr>
    </w:div>
    <w:div w:id="432671188">
      <w:marLeft w:val="480"/>
      <w:marRight w:val="0"/>
      <w:marTop w:val="0"/>
      <w:marBottom w:val="0"/>
      <w:divBdr>
        <w:top w:val="none" w:sz="0" w:space="0" w:color="auto"/>
        <w:left w:val="none" w:sz="0" w:space="0" w:color="auto"/>
        <w:bottom w:val="none" w:sz="0" w:space="0" w:color="auto"/>
        <w:right w:val="none" w:sz="0" w:space="0" w:color="auto"/>
      </w:divBdr>
    </w:div>
    <w:div w:id="433328365">
      <w:marLeft w:val="480"/>
      <w:marRight w:val="0"/>
      <w:marTop w:val="0"/>
      <w:marBottom w:val="0"/>
      <w:divBdr>
        <w:top w:val="none" w:sz="0" w:space="0" w:color="auto"/>
        <w:left w:val="none" w:sz="0" w:space="0" w:color="auto"/>
        <w:bottom w:val="none" w:sz="0" w:space="0" w:color="auto"/>
        <w:right w:val="none" w:sz="0" w:space="0" w:color="auto"/>
      </w:divBdr>
    </w:div>
    <w:div w:id="437138667">
      <w:marLeft w:val="480"/>
      <w:marRight w:val="0"/>
      <w:marTop w:val="0"/>
      <w:marBottom w:val="0"/>
      <w:divBdr>
        <w:top w:val="none" w:sz="0" w:space="0" w:color="auto"/>
        <w:left w:val="none" w:sz="0" w:space="0" w:color="auto"/>
        <w:bottom w:val="none" w:sz="0" w:space="0" w:color="auto"/>
        <w:right w:val="none" w:sz="0" w:space="0" w:color="auto"/>
      </w:divBdr>
    </w:div>
    <w:div w:id="437679418">
      <w:marLeft w:val="480"/>
      <w:marRight w:val="0"/>
      <w:marTop w:val="0"/>
      <w:marBottom w:val="0"/>
      <w:divBdr>
        <w:top w:val="none" w:sz="0" w:space="0" w:color="auto"/>
        <w:left w:val="none" w:sz="0" w:space="0" w:color="auto"/>
        <w:bottom w:val="none" w:sz="0" w:space="0" w:color="auto"/>
        <w:right w:val="none" w:sz="0" w:space="0" w:color="auto"/>
      </w:divBdr>
    </w:div>
    <w:div w:id="438378361">
      <w:marLeft w:val="480"/>
      <w:marRight w:val="0"/>
      <w:marTop w:val="0"/>
      <w:marBottom w:val="0"/>
      <w:divBdr>
        <w:top w:val="none" w:sz="0" w:space="0" w:color="auto"/>
        <w:left w:val="none" w:sz="0" w:space="0" w:color="auto"/>
        <w:bottom w:val="none" w:sz="0" w:space="0" w:color="auto"/>
        <w:right w:val="none" w:sz="0" w:space="0" w:color="auto"/>
      </w:divBdr>
    </w:div>
    <w:div w:id="448743059">
      <w:marLeft w:val="480"/>
      <w:marRight w:val="0"/>
      <w:marTop w:val="0"/>
      <w:marBottom w:val="0"/>
      <w:divBdr>
        <w:top w:val="none" w:sz="0" w:space="0" w:color="auto"/>
        <w:left w:val="none" w:sz="0" w:space="0" w:color="auto"/>
        <w:bottom w:val="none" w:sz="0" w:space="0" w:color="auto"/>
        <w:right w:val="none" w:sz="0" w:space="0" w:color="auto"/>
      </w:divBdr>
    </w:div>
    <w:div w:id="454064995">
      <w:marLeft w:val="480"/>
      <w:marRight w:val="0"/>
      <w:marTop w:val="0"/>
      <w:marBottom w:val="0"/>
      <w:divBdr>
        <w:top w:val="none" w:sz="0" w:space="0" w:color="auto"/>
        <w:left w:val="none" w:sz="0" w:space="0" w:color="auto"/>
        <w:bottom w:val="none" w:sz="0" w:space="0" w:color="auto"/>
        <w:right w:val="none" w:sz="0" w:space="0" w:color="auto"/>
      </w:divBdr>
    </w:div>
    <w:div w:id="469638785">
      <w:marLeft w:val="480"/>
      <w:marRight w:val="0"/>
      <w:marTop w:val="0"/>
      <w:marBottom w:val="0"/>
      <w:divBdr>
        <w:top w:val="none" w:sz="0" w:space="0" w:color="auto"/>
        <w:left w:val="none" w:sz="0" w:space="0" w:color="auto"/>
        <w:bottom w:val="none" w:sz="0" w:space="0" w:color="auto"/>
        <w:right w:val="none" w:sz="0" w:space="0" w:color="auto"/>
      </w:divBdr>
    </w:div>
    <w:div w:id="475873473">
      <w:marLeft w:val="480"/>
      <w:marRight w:val="0"/>
      <w:marTop w:val="0"/>
      <w:marBottom w:val="0"/>
      <w:divBdr>
        <w:top w:val="none" w:sz="0" w:space="0" w:color="auto"/>
        <w:left w:val="none" w:sz="0" w:space="0" w:color="auto"/>
        <w:bottom w:val="none" w:sz="0" w:space="0" w:color="auto"/>
        <w:right w:val="none" w:sz="0" w:space="0" w:color="auto"/>
      </w:divBdr>
    </w:div>
    <w:div w:id="480999570">
      <w:marLeft w:val="480"/>
      <w:marRight w:val="0"/>
      <w:marTop w:val="0"/>
      <w:marBottom w:val="0"/>
      <w:divBdr>
        <w:top w:val="none" w:sz="0" w:space="0" w:color="auto"/>
        <w:left w:val="none" w:sz="0" w:space="0" w:color="auto"/>
        <w:bottom w:val="none" w:sz="0" w:space="0" w:color="auto"/>
        <w:right w:val="none" w:sz="0" w:space="0" w:color="auto"/>
      </w:divBdr>
    </w:div>
    <w:div w:id="483353087">
      <w:marLeft w:val="480"/>
      <w:marRight w:val="0"/>
      <w:marTop w:val="0"/>
      <w:marBottom w:val="0"/>
      <w:divBdr>
        <w:top w:val="none" w:sz="0" w:space="0" w:color="auto"/>
        <w:left w:val="none" w:sz="0" w:space="0" w:color="auto"/>
        <w:bottom w:val="none" w:sz="0" w:space="0" w:color="auto"/>
        <w:right w:val="none" w:sz="0" w:space="0" w:color="auto"/>
      </w:divBdr>
    </w:div>
    <w:div w:id="485319214">
      <w:marLeft w:val="480"/>
      <w:marRight w:val="0"/>
      <w:marTop w:val="0"/>
      <w:marBottom w:val="0"/>
      <w:divBdr>
        <w:top w:val="none" w:sz="0" w:space="0" w:color="auto"/>
        <w:left w:val="none" w:sz="0" w:space="0" w:color="auto"/>
        <w:bottom w:val="none" w:sz="0" w:space="0" w:color="auto"/>
        <w:right w:val="none" w:sz="0" w:space="0" w:color="auto"/>
      </w:divBdr>
    </w:div>
    <w:div w:id="512690891">
      <w:marLeft w:val="480"/>
      <w:marRight w:val="0"/>
      <w:marTop w:val="0"/>
      <w:marBottom w:val="0"/>
      <w:divBdr>
        <w:top w:val="none" w:sz="0" w:space="0" w:color="auto"/>
        <w:left w:val="none" w:sz="0" w:space="0" w:color="auto"/>
        <w:bottom w:val="none" w:sz="0" w:space="0" w:color="auto"/>
        <w:right w:val="none" w:sz="0" w:space="0" w:color="auto"/>
      </w:divBdr>
    </w:div>
    <w:div w:id="515005002">
      <w:marLeft w:val="480"/>
      <w:marRight w:val="0"/>
      <w:marTop w:val="0"/>
      <w:marBottom w:val="0"/>
      <w:divBdr>
        <w:top w:val="none" w:sz="0" w:space="0" w:color="auto"/>
        <w:left w:val="none" w:sz="0" w:space="0" w:color="auto"/>
        <w:bottom w:val="none" w:sz="0" w:space="0" w:color="auto"/>
        <w:right w:val="none" w:sz="0" w:space="0" w:color="auto"/>
      </w:divBdr>
    </w:div>
    <w:div w:id="515120952">
      <w:marLeft w:val="480"/>
      <w:marRight w:val="0"/>
      <w:marTop w:val="0"/>
      <w:marBottom w:val="0"/>
      <w:divBdr>
        <w:top w:val="none" w:sz="0" w:space="0" w:color="auto"/>
        <w:left w:val="none" w:sz="0" w:space="0" w:color="auto"/>
        <w:bottom w:val="none" w:sz="0" w:space="0" w:color="auto"/>
        <w:right w:val="none" w:sz="0" w:space="0" w:color="auto"/>
      </w:divBdr>
    </w:div>
    <w:div w:id="519125257">
      <w:marLeft w:val="480"/>
      <w:marRight w:val="0"/>
      <w:marTop w:val="0"/>
      <w:marBottom w:val="0"/>
      <w:divBdr>
        <w:top w:val="none" w:sz="0" w:space="0" w:color="auto"/>
        <w:left w:val="none" w:sz="0" w:space="0" w:color="auto"/>
        <w:bottom w:val="none" w:sz="0" w:space="0" w:color="auto"/>
        <w:right w:val="none" w:sz="0" w:space="0" w:color="auto"/>
      </w:divBdr>
    </w:div>
    <w:div w:id="545679750">
      <w:marLeft w:val="480"/>
      <w:marRight w:val="0"/>
      <w:marTop w:val="0"/>
      <w:marBottom w:val="0"/>
      <w:divBdr>
        <w:top w:val="none" w:sz="0" w:space="0" w:color="auto"/>
        <w:left w:val="none" w:sz="0" w:space="0" w:color="auto"/>
        <w:bottom w:val="none" w:sz="0" w:space="0" w:color="auto"/>
        <w:right w:val="none" w:sz="0" w:space="0" w:color="auto"/>
      </w:divBdr>
    </w:div>
    <w:div w:id="565607188">
      <w:marLeft w:val="480"/>
      <w:marRight w:val="0"/>
      <w:marTop w:val="0"/>
      <w:marBottom w:val="0"/>
      <w:divBdr>
        <w:top w:val="none" w:sz="0" w:space="0" w:color="auto"/>
        <w:left w:val="none" w:sz="0" w:space="0" w:color="auto"/>
        <w:bottom w:val="none" w:sz="0" w:space="0" w:color="auto"/>
        <w:right w:val="none" w:sz="0" w:space="0" w:color="auto"/>
      </w:divBdr>
    </w:div>
    <w:div w:id="566912944">
      <w:marLeft w:val="480"/>
      <w:marRight w:val="0"/>
      <w:marTop w:val="0"/>
      <w:marBottom w:val="0"/>
      <w:divBdr>
        <w:top w:val="none" w:sz="0" w:space="0" w:color="auto"/>
        <w:left w:val="none" w:sz="0" w:space="0" w:color="auto"/>
        <w:bottom w:val="none" w:sz="0" w:space="0" w:color="auto"/>
        <w:right w:val="none" w:sz="0" w:space="0" w:color="auto"/>
      </w:divBdr>
    </w:div>
    <w:div w:id="570966506">
      <w:marLeft w:val="480"/>
      <w:marRight w:val="0"/>
      <w:marTop w:val="0"/>
      <w:marBottom w:val="0"/>
      <w:divBdr>
        <w:top w:val="none" w:sz="0" w:space="0" w:color="auto"/>
        <w:left w:val="none" w:sz="0" w:space="0" w:color="auto"/>
        <w:bottom w:val="none" w:sz="0" w:space="0" w:color="auto"/>
        <w:right w:val="none" w:sz="0" w:space="0" w:color="auto"/>
      </w:divBdr>
    </w:div>
    <w:div w:id="576747399">
      <w:marLeft w:val="480"/>
      <w:marRight w:val="0"/>
      <w:marTop w:val="0"/>
      <w:marBottom w:val="0"/>
      <w:divBdr>
        <w:top w:val="none" w:sz="0" w:space="0" w:color="auto"/>
        <w:left w:val="none" w:sz="0" w:space="0" w:color="auto"/>
        <w:bottom w:val="none" w:sz="0" w:space="0" w:color="auto"/>
        <w:right w:val="none" w:sz="0" w:space="0" w:color="auto"/>
      </w:divBdr>
    </w:div>
    <w:div w:id="584195229">
      <w:marLeft w:val="480"/>
      <w:marRight w:val="0"/>
      <w:marTop w:val="0"/>
      <w:marBottom w:val="0"/>
      <w:divBdr>
        <w:top w:val="none" w:sz="0" w:space="0" w:color="auto"/>
        <w:left w:val="none" w:sz="0" w:space="0" w:color="auto"/>
        <w:bottom w:val="none" w:sz="0" w:space="0" w:color="auto"/>
        <w:right w:val="none" w:sz="0" w:space="0" w:color="auto"/>
      </w:divBdr>
    </w:div>
    <w:div w:id="594481848">
      <w:marLeft w:val="480"/>
      <w:marRight w:val="0"/>
      <w:marTop w:val="0"/>
      <w:marBottom w:val="0"/>
      <w:divBdr>
        <w:top w:val="none" w:sz="0" w:space="0" w:color="auto"/>
        <w:left w:val="none" w:sz="0" w:space="0" w:color="auto"/>
        <w:bottom w:val="none" w:sz="0" w:space="0" w:color="auto"/>
        <w:right w:val="none" w:sz="0" w:space="0" w:color="auto"/>
      </w:divBdr>
    </w:div>
    <w:div w:id="605578732">
      <w:marLeft w:val="480"/>
      <w:marRight w:val="0"/>
      <w:marTop w:val="0"/>
      <w:marBottom w:val="0"/>
      <w:divBdr>
        <w:top w:val="none" w:sz="0" w:space="0" w:color="auto"/>
        <w:left w:val="none" w:sz="0" w:space="0" w:color="auto"/>
        <w:bottom w:val="none" w:sz="0" w:space="0" w:color="auto"/>
        <w:right w:val="none" w:sz="0" w:space="0" w:color="auto"/>
      </w:divBdr>
    </w:div>
    <w:div w:id="617177492">
      <w:marLeft w:val="480"/>
      <w:marRight w:val="0"/>
      <w:marTop w:val="0"/>
      <w:marBottom w:val="0"/>
      <w:divBdr>
        <w:top w:val="none" w:sz="0" w:space="0" w:color="auto"/>
        <w:left w:val="none" w:sz="0" w:space="0" w:color="auto"/>
        <w:bottom w:val="none" w:sz="0" w:space="0" w:color="auto"/>
        <w:right w:val="none" w:sz="0" w:space="0" w:color="auto"/>
      </w:divBdr>
    </w:div>
    <w:div w:id="631331391">
      <w:marLeft w:val="480"/>
      <w:marRight w:val="0"/>
      <w:marTop w:val="0"/>
      <w:marBottom w:val="0"/>
      <w:divBdr>
        <w:top w:val="none" w:sz="0" w:space="0" w:color="auto"/>
        <w:left w:val="none" w:sz="0" w:space="0" w:color="auto"/>
        <w:bottom w:val="none" w:sz="0" w:space="0" w:color="auto"/>
        <w:right w:val="none" w:sz="0" w:space="0" w:color="auto"/>
      </w:divBdr>
    </w:div>
    <w:div w:id="635061735">
      <w:marLeft w:val="480"/>
      <w:marRight w:val="0"/>
      <w:marTop w:val="0"/>
      <w:marBottom w:val="0"/>
      <w:divBdr>
        <w:top w:val="none" w:sz="0" w:space="0" w:color="auto"/>
        <w:left w:val="none" w:sz="0" w:space="0" w:color="auto"/>
        <w:bottom w:val="none" w:sz="0" w:space="0" w:color="auto"/>
        <w:right w:val="none" w:sz="0" w:space="0" w:color="auto"/>
      </w:divBdr>
    </w:div>
    <w:div w:id="642000235">
      <w:marLeft w:val="480"/>
      <w:marRight w:val="0"/>
      <w:marTop w:val="0"/>
      <w:marBottom w:val="0"/>
      <w:divBdr>
        <w:top w:val="none" w:sz="0" w:space="0" w:color="auto"/>
        <w:left w:val="none" w:sz="0" w:space="0" w:color="auto"/>
        <w:bottom w:val="none" w:sz="0" w:space="0" w:color="auto"/>
        <w:right w:val="none" w:sz="0" w:space="0" w:color="auto"/>
      </w:divBdr>
    </w:div>
    <w:div w:id="649598892">
      <w:marLeft w:val="480"/>
      <w:marRight w:val="0"/>
      <w:marTop w:val="0"/>
      <w:marBottom w:val="0"/>
      <w:divBdr>
        <w:top w:val="none" w:sz="0" w:space="0" w:color="auto"/>
        <w:left w:val="none" w:sz="0" w:space="0" w:color="auto"/>
        <w:bottom w:val="none" w:sz="0" w:space="0" w:color="auto"/>
        <w:right w:val="none" w:sz="0" w:space="0" w:color="auto"/>
      </w:divBdr>
    </w:div>
    <w:div w:id="686098484">
      <w:marLeft w:val="480"/>
      <w:marRight w:val="0"/>
      <w:marTop w:val="0"/>
      <w:marBottom w:val="0"/>
      <w:divBdr>
        <w:top w:val="none" w:sz="0" w:space="0" w:color="auto"/>
        <w:left w:val="none" w:sz="0" w:space="0" w:color="auto"/>
        <w:bottom w:val="none" w:sz="0" w:space="0" w:color="auto"/>
        <w:right w:val="none" w:sz="0" w:space="0" w:color="auto"/>
      </w:divBdr>
    </w:div>
    <w:div w:id="687372419">
      <w:marLeft w:val="480"/>
      <w:marRight w:val="0"/>
      <w:marTop w:val="0"/>
      <w:marBottom w:val="0"/>
      <w:divBdr>
        <w:top w:val="none" w:sz="0" w:space="0" w:color="auto"/>
        <w:left w:val="none" w:sz="0" w:space="0" w:color="auto"/>
        <w:bottom w:val="none" w:sz="0" w:space="0" w:color="auto"/>
        <w:right w:val="none" w:sz="0" w:space="0" w:color="auto"/>
      </w:divBdr>
    </w:div>
    <w:div w:id="688726481">
      <w:marLeft w:val="480"/>
      <w:marRight w:val="0"/>
      <w:marTop w:val="0"/>
      <w:marBottom w:val="0"/>
      <w:divBdr>
        <w:top w:val="none" w:sz="0" w:space="0" w:color="auto"/>
        <w:left w:val="none" w:sz="0" w:space="0" w:color="auto"/>
        <w:bottom w:val="none" w:sz="0" w:space="0" w:color="auto"/>
        <w:right w:val="none" w:sz="0" w:space="0" w:color="auto"/>
      </w:divBdr>
    </w:div>
    <w:div w:id="703285848">
      <w:marLeft w:val="480"/>
      <w:marRight w:val="0"/>
      <w:marTop w:val="0"/>
      <w:marBottom w:val="0"/>
      <w:divBdr>
        <w:top w:val="none" w:sz="0" w:space="0" w:color="auto"/>
        <w:left w:val="none" w:sz="0" w:space="0" w:color="auto"/>
        <w:bottom w:val="none" w:sz="0" w:space="0" w:color="auto"/>
        <w:right w:val="none" w:sz="0" w:space="0" w:color="auto"/>
      </w:divBdr>
    </w:div>
    <w:div w:id="704526441">
      <w:marLeft w:val="480"/>
      <w:marRight w:val="0"/>
      <w:marTop w:val="0"/>
      <w:marBottom w:val="0"/>
      <w:divBdr>
        <w:top w:val="none" w:sz="0" w:space="0" w:color="auto"/>
        <w:left w:val="none" w:sz="0" w:space="0" w:color="auto"/>
        <w:bottom w:val="none" w:sz="0" w:space="0" w:color="auto"/>
        <w:right w:val="none" w:sz="0" w:space="0" w:color="auto"/>
      </w:divBdr>
    </w:div>
    <w:div w:id="728117597">
      <w:marLeft w:val="480"/>
      <w:marRight w:val="0"/>
      <w:marTop w:val="0"/>
      <w:marBottom w:val="0"/>
      <w:divBdr>
        <w:top w:val="none" w:sz="0" w:space="0" w:color="auto"/>
        <w:left w:val="none" w:sz="0" w:space="0" w:color="auto"/>
        <w:bottom w:val="none" w:sz="0" w:space="0" w:color="auto"/>
        <w:right w:val="none" w:sz="0" w:space="0" w:color="auto"/>
      </w:divBdr>
    </w:div>
    <w:div w:id="731390999">
      <w:marLeft w:val="480"/>
      <w:marRight w:val="0"/>
      <w:marTop w:val="0"/>
      <w:marBottom w:val="0"/>
      <w:divBdr>
        <w:top w:val="none" w:sz="0" w:space="0" w:color="auto"/>
        <w:left w:val="none" w:sz="0" w:space="0" w:color="auto"/>
        <w:bottom w:val="none" w:sz="0" w:space="0" w:color="auto"/>
        <w:right w:val="none" w:sz="0" w:space="0" w:color="auto"/>
      </w:divBdr>
    </w:div>
    <w:div w:id="755440910">
      <w:marLeft w:val="480"/>
      <w:marRight w:val="0"/>
      <w:marTop w:val="0"/>
      <w:marBottom w:val="0"/>
      <w:divBdr>
        <w:top w:val="none" w:sz="0" w:space="0" w:color="auto"/>
        <w:left w:val="none" w:sz="0" w:space="0" w:color="auto"/>
        <w:bottom w:val="none" w:sz="0" w:space="0" w:color="auto"/>
        <w:right w:val="none" w:sz="0" w:space="0" w:color="auto"/>
      </w:divBdr>
    </w:div>
    <w:div w:id="758871483">
      <w:marLeft w:val="480"/>
      <w:marRight w:val="0"/>
      <w:marTop w:val="0"/>
      <w:marBottom w:val="0"/>
      <w:divBdr>
        <w:top w:val="none" w:sz="0" w:space="0" w:color="auto"/>
        <w:left w:val="none" w:sz="0" w:space="0" w:color="auto"/>
        <w:bottom w:val="none" w:sz="0" w:space="0" w:color="auto"/>
        <w:right w:val="none" w:sz="0" w:space="0" w:color="auto"/>
      </w:divBdr>
    </w:div>
    <w:div w:id="763500116">
      <w:marLeft w:val="480"/>
      <w:marRight w:val="0"/>
      <w:marTop w:val="0"/>
      <w:marBottom w:val="0"/>
      <w:divBdr>
        <w:top w:val="none" w:sz="0" w:space="0" w:color="auto"/>
        <w:left w:val="none" w:sz="0" w:space="0" w:color="auto"/>
        <w:bottom w:val="none" w:sz="0" w:space="0" w:color="auto"/>
        <w:right w:val="none" w:sz="0" w:space="0" w:color="auto"/>
      </w:divBdr>
    </w:div>
    <w:div w:id="775752768">
      <w:marLeft w:val="480"/>
      <w:marRight w:val="0"/>
      <w:marTop w:val="0"/>
      <w:marBottom w:val="0"/>
      <w:divBdr>
        <w:top w:val="none" w:sz="0" w:space="0" w:color="auto"/>
        <w:left w:val="none" w:sz="0" w:space="0" w:color="auto"/>
        <w:bottom w:val="none" w:sz="0" w:space="0" w:color="auto"/>
        <w:right w:val="none" w:sz="0" w:space="0" w:color="auto"/>
      </w:divBdr>
    </w:div>
    <w:div w:id="788400406">
      <w:marLeft w:val="480"/>
      <w:marRight w:val="0"/>
      <w:marTop w:val="0"/>
      <w:marBottom w:val="0"/>
      <w:divBdr>
        <w:top w:val="none" w:sz="0" w:space="0" w:color="auto"/>
        <w:left w:val="none" w:sz="0" w:space="0" w:color="auto"/>
        <w:bottom w:val="none" w:sz="0" w:space="0" w:color="auto"/>
        <w:right w:val="none" w:sz="0" w:space="0" w:color="auto"/>
      </w:divBdr>
    </w:div>
    <w:div w:id="793643386">
      <w:marLeft w:val="480"/>
      <w:marRight w:val="0"/>
      <w:marTop w:val="0"/>
      <w:marBottom w:val="0"/>
      <w:divBdr>
        <w:top w:val="none" w:sz="0" w:space="0" w:color="auto"/>
        <w:left w:val="none" w:sz="0" w:space="0" w:color="auto"/>
        <w:bottom w:val="none" w:sz="0" w:space="0" w:color="auto"/>
        <w:right w:val="none" w:sz="0" w:space="0" w:color="auto"/>
      </w:divBdr>
    </w:div>
    <w:div w:id="800924970">
      <w:marLeft w:val="480"/>
      <w:marRight w:val="0"/>
      <w:marTop w:val="0"/>
      <w:marBottom w:val="0"/>
      <w:divBdr>
        <w:top w:val="none" w:sz="0" w:space="0" w:color="auto"/>
        <w:left w:val="none" w:sz="0" w:space="0" w:color="auto"/>
        <w:bottom w:val="none" w:sz="0" w:space="0" w:color="auto"/>
        <w:right w:val="none" w:sz="0" w:space="0" w:color="auto"/>
      </w:divBdr>
    </w:div>
    <w:div w:id="802620201">
      <w:marLeft w:val="480"/>
      <w:marRight w:val="0"/>
      <w:marTop w:val="0"/>
      <w:marBottom w:val="0"/>
      <w:divBdr>
        <w:top w:val="none" w:sz="0" w:space="0" w:color="auto"/>
        <w:left w:val="none" w:sz="0" w:space="0" w:color="auto"/>
        <w:bottom w:val="none" w:sz="0" w:space="0" w:color="auto"/>
        <w:right w:val="none" w:sz="0" w:space="0" w:color="auto"/>
      </w:divBdr>
    </w:div>
    <w:div w:id="815952514">
      <w:marLeft w:val="480"/>
      <w:marRight w:val="0"/>
      <w:marTop w:val="0"/>
      <w:marBottom w:val="0"/>
      <w:divBdr>
        <w:top w:val="none" w:sz="0" w:space="0" w:color="auto"/>
        <w:left w:val="none" w:sz="0" w:space="0" w:color="auto"/>
        <w:bottom w:val="none" w:sz="0" w:space="0" w:color="auto"/>
        <w:right w:val="none" w:sz="0" w:space="0" w:color="auto"/>
      </w:divBdr>
    </w:div>
    <w:div w:id="823427003">
      <w:marLeft w:val="480"/>
      <w:marRight w:val="0"/>
      <w:marTop w:val="0"/>
      <w:marBottom w:val="0"/>
      <w:divBdr>
        <w:top w:val="none" w:sz="0" w:space="0" w:color="auto"/>
        <w:left w:val="none" w:sz="0" w:space="0" w:color="auto"/>
        <w:bottom w:val="none" w:sz="0" w:space="0" w:color="auto"/>
        <w:right w:val="none" w:sz="0" w:space="0" w:color="auto"/>
      </w:divBdr>
    </w:div>
    <w:div w:id="826752190">
      <w:marLeft w:val="480"/>
      <w:marRight w:val="0"/>
      <w:marTop w:val="0"/>
      <w:marBottom w:val="0"/>
      <w:divBdr>
        <w:top w:val="none" w:sz="0" w:space="0" w:color="auto"/>
        <w:left w:val="none" w:sz="0" w:space="0" w:color="auto"/>
        <w:bottom w:val="none" w:sz="0" w:space="0" w:color="auto"/>
        <w:right w:val="none" w:sz="0" w:space="0" w:color="auto"/>
      </w:divBdr>
    </w:div>
    <w:div w:id="841822671">
      <w:marLeft w:val="480"/>
      <w:marRight w:val="0"/>
      <w:marTop w:val="0"/>
      <w:marBottom w:val="0"/>
      <w:divBdr>
        <w:top w:val="none" w:sz="0" w:space="0" w:color="auto"/>
        <w:left w:val="none" w:sz="0" w:space="0" w:color="auto"/>
        <w:bottom w:val="none" w:sz="0" w:space="0" w:color="auto"/>
        <w:right w:val="none" w:sz="0" w:space="0" w:color="auto"/>
      </w:divBdr>
    </w:div>
    <w:div w:id="902057658">
      <w:marLeft w:val="480"/>
      <w:marRight w:val="0"/>
      <w:marTop w:val="0"/>
      <w:marBottom w:val="0"/>
      <w:divBdr>
        <w:top w:val="none" w:sz="0" w:space="0" w:color="auto"/>
        <w:left w:val="none" w:sz="0" w:space="0" w:color="auto"/>
        <w:bottom w:val="none" w:sz="0" w:space="0" w:color="auto"/>
        <w:right w:val="none" w:sz="0" w:space="0" w:color="auto"/>
      </w:divBdr>
    </w:div>
    <w:div w:id="903024169">
      <w:marLeft w:val="480"/>
      <w:marRight w:val="0"/>
      <w:marTop w:val="0"/>
      <w:marBottom w:val="0"/>
      <w:divBdr>
        <w:top w:val="none" w:sz="0" w:space="0" w:color="auto"/>
        <w:left w:val="none" w:sz="0" w:space="0" w:color="auto"/>
        <w:bottom w:val="none" w:sz="0" w:space="0" w:color="auto"/>
        <w:right w:val="none" w:sz="0" w:space="0" w:color="auto"/>
      </w:divBdr>
    </w:div>
    <w:div w:id="910430486">
      <w:marLeft w:val="480"/>
      <w:marRight w:val="0"/>
      <w:marTop w:val="0"/>
      <w:marBottom w:val="0"/>
      <w:divBdr>
        <w:top w:val="none" w:sz="0" w:space="0" w:color="auto"/>
        <w:left w:val="none" w:sz="0" w:space="0" w:color="auto"/>
        <w:bottom w:val="none" w:sz="0" w:space="0" w:color="auto"/>
        <w:right w:val="none" w:sz="0" w:space="0" w:color="auto"/>
      </w:divBdr>
    </w:div>
    <w:div w:id="937831347">
      <w:marLeft w:val="480"/>
      <w:marRight w:val="0"/>
      <w:marTop w:val="0"/>
      <w:marBottom w:val="0"/>
      <w:divBdr>
        <w:top w:val="none" w:sz="0" w:space="0" w:color="auto"/>
        <w:left w:val="none" w:sz="0" w:space="0" w:color="auto"/>
        <w:bottom w:val="none" w:sz="0" w:space="0" w:color="auto"/>
        <w:right w:val="none" w:sz="0" w:space="0" w:color="auto"/>
      </w:divBdr>
    </w:div>
    <w:div w:id="939139614">
      <w:marLeft w:val="480"/>
      <w:marRight w:val="0"/>
      <w:marTop w:val="0"/>
      <w:marBottom w:val="0"/>
      <w:divBdr>
        <w:top w:val="none" w:sz="0" w:space="0" w:color="auto"/>
        <w:left w:val="none" w:sz="0" w:space="0" w:color="auto"/>
        <w:bottom w:val="none" w:sz="0" w:space="0" w:color="auto"/>
        <w:right w:val="none" w:sz="0" w:space="0" w:color="auto"/>
      </w:divBdr>
    </w:div>
    <w:div w:id="941035230">
      <w:marLeft w:val="480"/>
      <w:marRight w:val="0"/>
      <w:marTop w:val="0"/>
      <w:marBottom w:val="0"/>
      <w:divBdr>
        <w:top w:val="none" w:sz="0" w:space="0" w:color="auto"/>
        <w:left w:val="none" w:sz="0" w:space="0" w:color="auto"/>
        <w:bottom w:val="none" w:sz="0" w:space="0" w:color="auto"/>
        <w:right w:val="none" w:sz="0" w:space="0" w:color="auto"/>
      </w:divBdr>
    </w:div>
    <w:div w:id="959411238">
      <w:marLeft w:val="480"/>
      <w:marRight w:val="0"/>
      <w:marTop w:val="0"/>
      <w:marBottom w:val="0"/>
      <w:divBdr>
        <w:top w:val="none" w:sz="0" w:space="0" w:color="auto"/>
        <w:left w:val="none" w:sz="0" w:space="0" w:color="auto"/>
        <w:bottom w:val="none" w:sz="0" w:space="0" w:color="auto"/>
        <w:right w:val="none" w:sz="0" w:space="0" w:color="auto"/>
      </w:divBdr>
    </w:div>
    <w:div w:id="966088693">
      <w:marLeft w:val="480"/>
      <w:marRight w:val="0"/>
      <w:marTop w:val="0"/>
      <w:marBottom w:val="0"/>
      <w:divBdr>
        <w:top w:val="none" w:sz="0" w:space="0" w:color="auto"/>
        <w:left w:val="none" w:sz="0" w:space="0" w:color="auto"/>
        <w:bottom w:val="none" w:sz="0" w:space="0" w:color="auto"/>
        <w:right w:val="none" w:sz="0" w:space="0" w:color="auto"/>
      </w:divBdr>
    </w:div>
    <w:div w:id="974532565">
      <w:marLeft w:val="480"/>
      <w:marRight w:val="0"/>
      <w:marTop w:val="0"/>
      <w:marBottom w:val="0"/>
      <w:divBdr>
        <w:top w:val="none" w:sz="0" w:space="0" w:color="auto"/>
        <w:left w:val="none" w:sz="0" w:space="0" w:color="auto"/>
        <w:bottom w:val="none" w:sz="0" w:space="0" w:color="auto"/>
        <w:right w:val="none" w:sz="0" w:space="0" w:color="auto"/>
      </w:divBdr>
    </w:div>
    <w:div w:id="984160915">
      <w:marLeft w:val="480"/>
      <w:marRight w:val="0"/>
      <w:marTop w:val="0"/>
      <w:marBottom w:val="0"/>
      <w:divBdr>
        <w:top w:val="none" w:sz="0" w:space="0" w:color="auto"/>
        <w:left w:val="none" w:sz="0" w:space="0" w:color="auto"/>
        <w:bottom w:val="none" w:sz="0" w:space="0" w:color="auto"/>
        <w:right w:val="none" w:sz="0" w:space="0" w:color="auto"/>
      </w:divBdr>
    </w:div>
    <w:div w:id="997419028">
      <w:marLeft w:val="480"/>
      <w:marRight w:val="0"/>
      <w:marTop w:val="0"/>
      <w:marBottom w:val="0"/>
      <w:divBdr>
        <w:top w:val="none" w:sz="0" w:space="0" w:color="auto"/>
        <w:left w:val="none" w:sz="0" w:space="0" w:color="auto"/>
        <w:bottom w:val="none" w:sz="0" w:space="0" w:color="auto"/>
        <w:right w:val="none" w:sz="0" w:space="0" w:color="auto"/>
      </w:divBdr>
    </w:div>
    <w:div w:id="1011492098">
      <w:marLeft w:val="480"/>
      <w:marRight w:val="0"/>
      <w:marTop w:val="0"/>
      <w:marBottom w:val="0"/>
      <w:divBdr>
        <w:top w:val="none" w:sz="0" w:space="0" w:color="auto"/>
        <w:left w:val="none" w:sz="0" w:space="0" w:color="auto"/>
        <w:bottom w:val="none" w:sz="0" w:space="0" w:color="auto"/>
        <w:right w:val="none" w:sz="0" w:space="0" w:color="auto"/>
      </w:divBdr>
    </w:div>
    <w:div w:id="1016348678">
      <w:marLeft w:val="480"/>
      <w:marRight w:val="0"/>
      <w:marTop w:val="0"/>
      <w:marBottom w:val="0"/>
      <w:divBdr>
        <w:top w:val="none" w:sz="0" w:space="0" w:color="auto"/>
        <w:left w:val="none" w:sz="0" w:space="0" w:color="auto"/>
        <w:bottom w:val="none" w:sz="0" w:space="0" w:color="auto"/>
        <w:right w:val="none" w:sz="0" w:space="0" w:color="auto"/>
      </w:divBdr>
    </w:div>
    <w:div w:id="1017342576">
      <w:marLeft w:val="480"/>
      <w:marRight w:val="0"/>
      <w:marTop w:val="0"/>
      <w:marBottom w:val="0"/>
      <w:divBdr>
        <w:top w:val="none" w:sz="0" w:space="0" w:color="auto"/>
        <w:left w:val="none" w:sz="0" w:space="0" w:color="auto"/>
        <w:bottom w:val="none" w:sz="0" w:space="0" w:color="auto"/>
        <w:right w:val="none" w:sz="0" w:space="0" w:color="auto"/>
      </w:divBdr>
    </w:div>
    <w:div w:id="1039891117">
      <w:marLeft w:val="480"/>
      <w:marRight w:val="0"/>
      <w:marTop w:val="0"/>
      <w:marBottom w:val="0"/>
      <w:divBdr>
        <w:top w:val="none" w:sz="0" w:space="0" w:color="auto"/>
        <w:left w:val="none" w:sz="0" w:space="0" w:color="auto"/>
        <w:bottom w:val="none" w:sz="0" w:space="0" w:color="auto"/>
        <w:right w:val="none" w:sz="0" w:space="0" w:color="auto"/>
      </w:divBdr>
    </w:div>
    <w:div w:id="1052775564">
      <w:marLeft w:val="480"/>
      <w:marRight w:val="0"/>
      <w:marTop w:val="0"/>
      <w:marBottom w:val="0"/>
      <w:divBdr>
        <w:top w:val="none" w:sz="0" w:space="0" w:color="auto"/>
        <w:left w:val="none" w:sz="0" w:space="0" w:color="auto"/>
        <w:bottom w:val="none" w:sz="0" w:space="0" w:color="auto"/>
        <w:right w:val="none" w:sz="0" w:space="0" w:color="auto"/>
      </w:divBdr>
    </w:div>
    <w:div w:id="1054233791">
      <w:marLeft w:val="480"/>
      <w:marRight w:val="0"/>
      <w:marTop w:val="0"/>
      <w:marBottom w:val="0"/>
      <w:divBdr>
        <w:top w:val="none" w:sz="0" w:space="0" w:color="auto"/>
        <w:left w:val="none" w:sz="0" w:space="0" w:color="auto"/>
        <w:bottom w:val="none" w:sz="0" w:space="0" w:color="auto"/>
        <w:right w:val="none" w:sz="0" w:space="0" w:color="auto"/>
      </w:divBdr>
    </w:div>
    <w:div w:id="1057244057">
      <w:marLeft w:val="480"/>
      <w:marRight w:val="0"/>
      <w:marTop w:val="0"/>
      <w:marBottom w:val="0"/>
      <w:divBdr>
        <w:top w:val="none" w:sz="0" w:space="0" w:color="auto"/>
        <w:left w:val="none" w:sz="0" w:space="0" w:color="auto"/>
        <w:bottom w:val="none" w:sz="0" w:space="0" w:color="auto"/>
        <w:right w:val="none" w:sz="0" w:space="0" w:color="auto"/>
      </w:divBdr>
    </w:div>
    <w:div w:id="1066220872">
      <w:marLeft w:val="480"/>
      <w:marRight w:val="0"/>
      <w:marTop w:val="0"/>
      <w:marBottom w:val="0"/>
      <w:divBdr>
        <w:top w:val="none" w:sz="0" w:space="0" w:color="auto"/>
        <w:left w:val="none" w:sz="0" w:space="0" w:color="auto"/>
        <w:bottom w:val="none" w:sz="0" w:space="0" w:color="auto"/>
        <w:right w:val="none" w:sz="0" w:space="0" w:color="auto"/>
      </w:divBdr>
    </w:div>
    <w:div w:id="1075711844">
      <w:marLeft w:val="480"/>
      <w:marRight w:val="0"/>
      <w:marTop w:val="0"/>
      <w:marBottom w:val="0"/>
      <w:divBdr>
        <w:top w:val="none" w:sz="0" w:space="0" w:color="auto"/>
        <w:left w:val="none" w:sz="0" w:space="0" w:color="auto"/>
        <w:bottom w:val="none" w:sz="0" w:space="0" w:color="auto"/>
        <w:right w:val="none" w:sz="0" w:space="0" w:color="auto"/>
      </w:divBdr>
    </w:div>
    <w:div w:id="1089884193">
      <w:marLeft w:val="480"/>
      <w:marRight w:val="0"/>
      <w:marTop w:val="0"/>
      <w:marBottom w:val="0"/>
      <w:divBdr>
        <w:top w:val="none" w:sz="0" w:space="0" w:color="auto"/>
        <w:left w:val="none" w:sz="0" w:space="0" w:color="auto"/>
        <w:bottom w:val="none" w:sz="0" w:space="0" w:color="auto"/>
        <w:right w:val="none" w:sz="0" w:space="0" w:color="auto"/>
      </w:divBdr>
    </w:div>
    <w:div w:id="1089890021">
      <w:marLeft w:val="480"/>
      <w:marRight w:val="0"/>
      <w:marTop w:val="0"/>
      <w:marBottom w:val="0"/>
      <w:divBdr>
        <w:top w:val="none" w:sz="0" w:space="0" w:color="auto"/>
        <w:left w:val="none" w:sz="0" w:space="0" w:color="auto"/>
        <w:bottom w:val="none" w:sz="0" w:space="0" w:color="auto"/>
        <w:right w:val="none" w:sz="0" w:space="0" w:color="auto"/>
      </w:divBdr>
    </w:div>
    <w:div w:id="1112093908">
      <w:marLeft w:val="480"/>
      <w:marRight w:val="0"/>
      <w:marTop w:val="0"/>
      <w:marBottom w:val="0"/>
      <w:divBdr>
        <w:top w:val="none" w:sz="0" w:space="0" w:color="auto"/>
        <w:left w:val="none" w:sz="0" w:space="0" w:color="auto"/>
        <w:bottom w:val="none" w:sz="0" w:space="0" w:color="auto"/>
        <w:right w:val="none" w:sz="0" w:space="0" w:color="auto"/>
      </w:divBdr>
    </w:div>
    <w:div w:id="1118989581">
      <w:marLeft w:val="480"/>
      <w:marRight w:val="0"/>
      <w:marTop w:val="0"/>
      <w:marBottom w:val="0"/>
      <w:divBdr>
        <w:top w:val="none" w:sz="0" w:space="0" w:color="auto"/>
        <w:left w:val="none" w:sz="0" w:space="0" w:color="auto"/>
        <w:bottom w:val="none" w:sz="0" w:space="0" w:color="auto"/>
        <w:right w:val="none" w:sz="0" w:space="0" w:color="auto"/>
      </w:divBdr>
    </w:div>
    <w:div w:id="1139298895">
      <w:marLeft w:val="480"/>
      <w:marRight w:val="0"/>
      <w:marTop w:val="0"/>
      <w:marBottom w:val="0"/>
      <w:divBdr>
        <w:top w:val="none" w:sz="0" w:space="0" w:color="auto"/>
        <w:left w:val="none" w:sz="0" w:space="0" w:color="auto"/>
        <w:bottom w:val="none" w:sz="0" w:space="0" w:color="auto"/>
        <w:right w:val="none" w:sz="0" w:space="0" w:color="auto"/>
      </w:divBdr>
    </w:div>
    <w:div w:id="1146584187">
      <w:marLeft w:val="480"/>
      <w:marRight w:val="0"/>
      <w:marTop w:val="0"/>
      <w:marBottom w:val="0"/>
      <w:divBdr>
        <w:top w:val="none" w:sz="0" w:space="0" w:color="auto"/>
        <w:left w:val="none" w:sz="0" w:space="0" w:color="auto"/>
        <w:bottom w:val="none" w:sz="0" w:space="0" w:color="auto"/>
        <w:right w:val="none" w:sz="0" w:space="0" w:color="auto"/>
      </w:divBdr>
    </w:div>
    <w:div w:id="1164513324">
      <w:marLeft w:val="480"/>
      <w:marRight w:val="0"/>
      <w:marTop w:val="0"/>
      <w:marBottom w:val="0"/>
      <w:divBdr>
        <w:top w:val="none" w:sz="0" w:space="0" w:color="auto"/>
        <w:left w:val="none" w:sz="0" w:space="0" w:color="auto"/>
        <w:bottom w:val="none" w:sz="0" w:space="0" w:color="auto"/>
        <w:right w:val="none" w:sz="0" w:space="0" w:color="auto"/>
      </w:divBdr>
    </w:div>
    <w:div w:id="1169490227">
      <w:marLeft w:val="480"/>
      <w:marRight w:val="0"/>
      <w:marTop w:val="0"/>
      <w:marBottom w:val="0"/>
      <w:divBdr>
        <w:top w:val="none" w:sz="0" w:space="0" w:color="auto"/>
        <w:left w:val="none" w:sz="0" w:space="0" w:color="auto"/>
        <w:bottom w:val="none" w:sz="0" w:space="0" w:color="auto"/>
        <w:right w:val="none" w:sz="0" w:space="0" w:color="auto"/>
      </w:divBdr>
    </w:div>
    <w:div w:id="1187328631">
      <w:marLeft w:val="480"/>
      <w:marRight w:val="0"/>
      <w:marTop w:val="0"/>
      <w:marBottom w:val="0"/>
      <w:divBdr>
        <w:top w:val="none" w:sz="0" w:space="0" w:color="auto"/>
        <w:left w:val="none" w:sz="0" w:space="0" w:color="auto"/>
        <w:bottom w:val="none" w:sz="0" w:space="0" w:color="auto"/>
        <w:right w:val="none" w:sz="0" w:space="0" w:color="auto"/>
      </w:divBdr>
    </w:div>
    <w:div w:id="1193568197">
      <w:marLeft w:val="480"/>
      <w:marRight w:val="0"/>
      <w:marTop w:val="0"/>
      <w:marBottom w:val="0"/>
      <w:divBdr>
        <w:top w:val="none" w:sz="0" w:space="0" w:color="auto"/>
        <w:left w:val="none" w:sz="0" w:space="0" w:color="auto"/>
        <w:bottom w:val="none" w:sz="0" w:space="0" w:color="auto"/>
        <w:right w:val="none" w:sz="0" w:space="0" w:color="auto"/>
      </w:divBdr>
    </w:div>
    <w:div w:id="1199314135">
      <w:marLeft w:val="480"/>
      <w:marRight w:val="0"/>
      <w:marTop w:val="0"/>
      <w:marBottom w:val="0"/>
      <w:divBdr>
        <w:top w:val="none" w:sz="0" w:space="0" w:color="auto"/>
        <w:left w:val="none" w:sz="0" w:space="0" w:color="auto"/>
        <w:bottom w:val="none" w:sz="0" w:space="0" w:color="auto"/>
        <w:right w:val="none" w:sz="0" w:space="0" w:color="auto"/>
      </w:divBdr>
    </w:div>
    <w:div w:id="1203714056">
      <w:marLeft w:val="480"/>
      <w:marRight w:val="0"/>
      <w:marTop w:val="0"/>
      <w:marBottom w:val="0"/>
      <w:divBdr>
        <w:top w:val="none" w:sz="0" w:space="0" w:color="auto"/>
        <w:left w:val="none" w:sz="0" w:space="0" w:color="auto"/>
        <w:bottom w:val="none" w:sz="0" w:space="0" w:color="auto"/>
        <w:right w:val="none" w:sz="0" w:space="0" w:color="auto"/>
      </w:divBdr>
    </w:div>
    <w:div w:id="1209803125">
      <w:marLeft w:val="480"/>
      <w:marRight w:val="0"/>
      <w:marTop w:val="0"/>
      <w:marBottom w:val="0"/>
      <w:divBdr>
        <w:top w:val="none" w:sz="0" w:space="0" w:color="auto"/>
        <w:left w:val="none" w:sz="0" w:space="0" w:color="auto"/>
        <w:bottom w:val="none" w:sz="0" w:space="0" w:color="auto"/>
        <w:right w:val="none" w:sz="0" w:space="0" w:color="auto"/>
      </w:divBdr>
    </w:div>
    <w:div w:id="1212115585">
      <w:marLeft w:val="480"/>
      <w:marRight w:val="0"/>
      <w:marTop w:val="0"/>
      <w:marBottom w:val="0"/>
      <w:divBdr>
        <w:top w:val="none" w:sz="0" w:space="0" w:color="auto"/>
        <w:left w:val="none" w:sz="0" w:space="0" w:color="auto"/>
        <w:bottom w:val="none" w:sz="0" w:space="0" w:color="auto"/>
        <w:right w:val="none" w:sz="0" w:space="0" w:color="auto"/>
      </w:divBdr>
    </w:div>
    <w:div w:id="1227491995">
      <w:marLeft w:val="480"/>
      <w:marRight w:val="0"/>
      <w:marTop w:val="0"/>
      <w:marBottom w:val="0"/>
      <w:divBdr>
        <w:top w:val="none" w:sz="0" w:space="0" w:color="auto"/>
        <w:left w:val="none" w:sz="0" w:space="0" w:color="auto"/>
        <w:bottom w:val="none" w:sz="0" w:space="0" w:color="auto"/>
        <w:right w:val="none" w:sz="0" w:space="0" w:color="auto"/>
      </w:divBdr>
    </w:div>
    <w:div w:id="1252273065">
      <w:marLeft w:val="480"/>
      <w:marRight w:val="0"/>
      <w:marTop w:val="0"/>
      <w:marBottom w:val="0"/>
      <w:divBdr>
        <w:top w:val="none" w:sz="0" w:space="0" w:color="auto"/>
        <w:left w:val="none" w:sz="0" w:space="0" w:color="auto"/>
        <w:bottom w:val="none" w:sz="0" w:space="0" w:color="auto"/>
        <w:right w:val="none" w:sz="0" w:space="0" w:color="auto"/>
      </w:divBdr>
    </w:div>
    <w:div w:id="1268081424">
      <w:marLeft w:val="480"/>
      <w:marRight w:val="0"/>
      <w:marTop w:val="0"/>
      <w:marBottom w:val="0"/>
      <w:divBdr>
        <w:top w:val="none" w:sz="0" w:space="0" w:color="auto"/>
        <w:left w:val="none" w:sz="0" w:space="0" w:color="auto"/>
        <w:bottom w:val="none" w:sz="0" w:space="0" w:color="auto"/>
        <w:right w:val="none" w:sz="0" w:space="0" w:color="auto"/>
      </w:divBdr>
    </w:div>
    <w:div w:id="1269464985">
      <w:marLeft w:val="480"/>
      <w:marRight w:val="0"/>
      <w:marTop w:val="0"/>
      <w:marBottom w:val="0"/>
      <w:divBdr>
        <w:top w:val="none" w:sz="0" w:space="0" w:color="auto"/>
        <w:left w:val="none" w:sz="0" w:space="0" w:color="auto"/>
        <w:bottom w:val="none" w:sz="0" w:space="0" w:color="auto"/>
        <w:right w:val="none" w:sz="0" w:space="0" w:color="auto"/>
      </w:divBdr>
    </w:div>
    <w:div w:id="1277172212">
      <w:marLeft w:val="480"/>
      <w:marRight w:val="0"/>
      <w:marTop w:val="0"/>
      <w:marBottom w:val="0"/>
      <w:divBdr>
        <w:top w:val="none" w:sz="0" w:space="0" w:color="auto"/>
        <w:left w:val="none" w:sz="0" w:space="0" w:color="auto"/>
        <w:bottom w:val="none" w:sz="0" w:space="0" w:color="auto"/>
        <w:right w:val="none" w:sz="0" w:space="0" w:color="auto"/>
      </w:divBdr>
    </w:div>
    <w:div w:id="1299267376">
      <w:marLeft w:val="480"/>
      <w:marRight w:val="0"/>
      <w:marTop w:val="0"/>
      <w:marBottom w:val="0"/>
      <w:divBdr>
        <w:top w:val="none" w:sz="0" w:space="0" w:color="auto"/>
        <w:left w:val="none" w:sz="0" w:space="0" w:color="auto"/>
        <w:bottom w:val="none" w:sz="0" w:space="0" w:color="auto"/>
        <w:right w:val="none" w:sz="0" w:space="0" w:color="auto"/>
      </w:divBdr>
    </w:div>
    <w:div w:id="1333147547">
      <w:marLeft w:val="480"/>
      <w:marRight w:val="0"/>
      <w:marTop w:val="0"/>
      <w:marBottom w:val="0"/>
      <w:divBdr>
        <w:top w:val="none" w:sz="0" w:space="0" w:color="auto"/>
        <w:left w:val="none" w:sz="0" w:space="0" w:color="auto"/>
        <w:bottom w:val="none" w:sz="0" w:space="0" w:color="auto"/>
        <w:right w:val="none" w:sz="0" w:space="0" w:color="auto"/>
      </w:divBdr>
    </w:div>
    <w:div w:id="1338653704">
      <w:marLeft w:val="480"/>
      <w:marRight w:val="0"/>
      <w:marTop w:val="0"/>
      <w:marBottom w:val="0"/>
      <w:divBdr>
        <w:top w:val="none" w:sz="0" w:space="0" w:color="auto"/>
        <w:left w:val="none" w:sz="0" w:space="0" w:color="auto"/>
        <w:bottom w:val="none" w:sz="0" w:space="0" w:color="auto"/>
        <w:right w:val="none" w:sz="0" w:space="0" w:color="auto"/>
      </w:divBdr>
    </w:div>
    <w:div w:id="1341010530">
      <w:marLeft w:val="480"/>
      <w:marRight w:val="0"/>
      <w:marTop w:val="0"/>
      <w:marBottom w:val="0"/>
      <w:divBdr>
        <w:top w:val="none" w:sz="0" w:space="0" w:color="auto"/>
        <w:left w:val="none" w:sz="0" w:space="0" w:color="auto"/>
        <w:bottom w:val="none" w:sz="0" w:space="0" w:color="auto"/>
        <w:right w:val="none" w:sz="0" w:space="0" w:color="auto"/>
      </w:divBdr>
    </w:div>
    <w:div w:id="1341470467">
      <w:marLeft w:val="480"/>
      <w:marRight w:val="0"/>
      <w:marTop w:val="0"/>
      <w:marBottom w:val="0"/>
      <w:divBdr>
        <w:top w:val="none" w:sz="0" w:space="0" w:color="auto"/>
        <w:left w:val="none" w:sz="0" w:space="0" w:color="auto"/>
        <w:bottom w:val="none" w:sz="0" w:space="0" w:color="auto"/>
        <w:right w:val="none" w:sz="0" w:space="0" w:color="auto"/>
      </w:divBdr>
    </w:div>
    <w:div w:id="1371029545">
      <w:marLeft w:val="480"/>
      <w:marRight w:val="0"/>
      <w:marTop w:val="0"/>
      <w:marBottom w:val="0"/>
      <w:divBdr>
        <w:top w:val="none" w:sz="0" w:space="0" w:color="auto"/>
        <w:left w:val="none" w:sz="0" w:space="0" w:color="auto"/>
        <w:bottom w:val="none" w:sz="0" w:space="0" w:color="auto"/>
        <w:right w:val="none" w:sz="0" w:space="0" w:color="auto"/>
      </w:divBdr>
    </w:div>
    <w:div w:id="1374425968">
      <w:marLeft w:val="480"/>
      <w:marRight w:val="0"/>
      <w:marTop w:val="0"/>
      <w:marBottom w:val="0"/>
      <w:divBdr>
        <w:top w:val="none" w:sz="0" w:space="0" w:color="auto"/>
        <w:left w:val="none" w:sz="0" w:space="0" w:color="auto"/>
        <w:bottom w:val="none" w:sz="0" w:space="0" w:color="auto"/>
        <w:right w:val="none" w:sz="0" w:space="0" w:color="auto"/>
      </w:divBdr>
    </w:div>
    <w:div w:id="1380855553">
      <w:marLeft w:val="480"/>
      <w:marRight w:val="0"/>
      <w:marTop w:val="0"/>
      <w:marBottom w:val="0"/>
      <w:divBdr>
        <w:top w:val="none" w:sz="0" w:space="0" w:color="auto"/>
        <w:left w:val="none" w:sz="0" w:space="0" w:color="auto"/>
        <w:bottom w:val="none" w:sz="0" w:space="0" w:color="auto"/>
        <w:right w:val="none" w:sz="0" w:space="0" w:color="auto"/>
      </w:divBdr>
    </w:div>
    <w:div w:id="1391463755">
      <w:marLeft w:val="480"/>
      <w:marRight w:val="0"/>
      <w:marTop w:val="0"/>
      <w:marBottom w:val="0"/>
      <w:divBdr>
        <w:top w:val="none" w:sz="0" w:space="0" w:color="auto"/>
        <w:left w:val="none" w:sz="0" w:space="0" w:color="auto"/>
        <w:bottom w:val="none" w:sz="0" w:space="0" w:color="auto"/>
        <w:right w:val="none" w:sz="0" w:space="0" w:color="auto"/>
      </w:divBdr>
    </w:div>
    <w:div w:id="1392578914">
      <w:marLeft w:val="480"/>
      <w:marRight w:val="0"/>
      <w:marTop w:val="0"/>
      <w:marBottom w:val="0"/>
      <w:divBdr>
        <w:top w:val="none" w:sz="0" w:space="0" w:color="auto"/>
        <w:left w:val="none" w:sz="0" w:space="0" w:color="auto"/>
        <w:bottom w:val="none" w:sz="0" w:space="0" w:color="auto"/>
        <w:right w:val="none" w:sz="0" w:space="0" w:color="auto"/>
      </w:divBdr>
    </w:div>
    <w:div w:id="1394890619">
      <w:marLeft w:val="480"/>
      <w:marRight w:val="0"/>
      <w:marTop w:val="0"/>
      <w:marBottom w:val="0"/>
      <w:divBdr>
        <w:top w:val="none" w:sz="0" w:space="0" w:color="auto"/>
        <w:left w:val="none" w:sz="0" w:space="0" w:color="auto"/>
        <w:bottom w:val="none" w:sz="0" w:space="0" w:color="auto"/>
        <w:right w:val="none" w:sz="0" w:space="0" w:color="auto"/>
      </w:divBdr>
    </w:div>
    <w:div w:id="1396079931">
      <w:marLeft w:val="480"/>
      <w:marRight w:val="0"/>
      <w:marTop w:val="0"/>
      <w:marBottom w:val="0"/>
      <w:divBdr>
        <w:top w:val="none" w:sz="0" w:space="0" w:color="auto"/>
        <w:left w:val="none" w:sz="0" w:space="0" w:color="auto"/>
        <w:bottom w:val="none" w:sz="0" w:space="0" w:color="auto"/>
        <w:right w:val="none" w:sz="0" w:space="0" w:color="auto"/>
      </w:divBdr>
    </w:div>
    <w:div w:id="1413165893">
      <w:marLeft w:val="480"/>
      <w:marRight w:val="0"/>
      <w:marTop w:val="0"/>
      <w:marBottom w:val="0"/>
      <w:divBdr>
        <w:top w:val="none" w:sz="0" w:space="0" w:color="auto"/>
        <w:left w:val="none" w:sz="0" w:space="0" w:color="auto"/>
        <w:bottom w:val="none" w:sz="0" w:space="0" w:color="auto"/>
        <w:right w:val="none" w:sz="0" w:space="0" w:color="auto"/>
      </w:divBdr>
    </w:div>
    <w:div w:id="1428034959">
      <w:marLeft w:val="480"/>
      <w:marRight w:val="0"/>
      <w:marTop w:val="0"/>
      <w:marBottom w:val="0"/>
      <w:divBdr>
        <w:top w:val="none" w:sz="0" w:space="0" w:color="auto"/>
        <w:left w:val="none" w:sz="0" w:space="0" w:color="auto"/>
        <w:bottom w:val="none" w:sz="0" w:space="0" w:color="auto"/>
        <w:right w:val="none" w:sz="0" w:space="0" w:color="auto"/>
      </w:divBdr>
    </w:div>
    <w:div w:id="1462267010">
      <w:marLeft w:val="480"/>
      <w:marRight w:val="0"/>
      <w:marTop w:val="0"/>
      <w:marBottom w:val="0"/>
      <w:divBdr>
        <w:top w:val="none" w:sz="0" w:space="0" w:color="auto"/>
        <w:left w:val="none" w:sz="0" w:space="0" w:color="auto"/>
        <w:bottom w:val="none" w:sz="0" w:space="0" w:color="auto"/>
        <w:right w:val="none" w:sz="0" w:space="0" w:color="auto"/>
      </w:divBdr>
    </w:div>
    <w:div w:id="1470395478">
      <w:marLeft w:val="480"/>
      <w:marRight w:val="0"/>
      <w:marTop w:val="0"/>
      <w:marBottom w:val="0"/>
      <w:divBdr>
        <w:top w:val="none" w:sz="0" w:space="0" w:color="auto"/>
        <w:left w:val="none" w:sz="0" w:space="0" w:color="auto"/>
        <w:bottom w:val="none" w:sz="0" w:space="0" w:color="auto"/>
        <w:right w:val="none" w:sz="0" w:space="0" w:color="auto"/>
      </w:divBdr>
    </w:div>
    <w:div w:id="1477796580">
      <w:marLeft w:val="480"/>
      <w:marRight w:val="0"/>
      <w:marTop w:val="0"/>
      <w:marBottom w:val="0"/>
      <w:divBdr>
        <w:top w:val="none" w:sz="0" w:space="0" w:color="auto"/>
        <w:left w:val="none" w:sz="0" w:space="0" w:color="auto"/>
        <w:bottom w:val="none" w:sz="0" w:space="0" w:color="auto"/>
        <w:right w:val="none" w:sz="0" w:space="0" w:color="auto"/>
      </w:divBdr>
    </w:div>
    <w:div w:id="1481843431">
      <w:marLeft w:val="480"/>
      <w:marRight w:val="0"/>
      <w:marTop w:val="0"/>
      <w:marBottom w:val="0"/>
      <w:divBdr>
        <w:top w:val="none" w:sz="0" w:space="0" w:color="auto"/>
        <w:left w:val="none" w:sz="0" w:space="0" w:color="auto"/>
        <w:bottom w:val="none" w:sz="0" w:space="0" w:color="auto"/>
        <w:right w:val="none" w:sz="0" w:space="0" w:color="auto"/>
      </w:divBdr>
    </w:div>
    <w:div w:id="1494222390">
      <w:marLeft w:val="480"/>
      <w:marRight w:val="0"/>
      <w:marTop w:val="0"/>
      <w:marBottom w:val="0"/>
      <w:divBdr>
        <w:top w:val="none" w:sz="0" w:space="0" w:color="auto"/>
        <w:left w:val="none" w:sz="0" w:space="0" w:color="auto"/>
        <w:bottom w:val="none" w:sz="0" w:space="0" w:color="auto"/>
        <w:right w:val="none" w:sz="0" w:space="0" w:color="auto"/>
      </w:divBdr>
    </w:div>
    <w:div w:id="1498379298">
      <w:marLeft w:val="480"/>
      <w:marRight w:val="0"/>
      <w:marTop w:val="0"/>
      <w:marBottom w:val="0"/>
      <w:divBdr>
        <w:top w:val="none" w:sz="0" w:space="0" w:color="auto"/>
        <w:left w:val="none" w:sz="0" w:space="0" w:color="auto"/>
        <w:bottom w:val="none" w:sz="0" w:space="0" w:color="auto"/>
        <w:right w:val="none" w:sz="0" w:space="0" w:color="auto"/>
      </w:divBdr>
    </w:div>
    <w:div w:id="1511531240">
      <w:marLeft w:val="480"/>
      <w:marRight w:val="0"/>
      <w:marTop w:val="0"/>
      <w:marBottom w:val="0"/>
      <w:divBdr>
        <w:top w:val="none" w:sz="0" w:space="0" w:color="auto"/>
        <w:left w:val="none" w:sz="0" w:space="0" w:color="auto"/>
        <w:bottom w:val="none" w:sz="0" w:space="0" w:color="auto"/>
        <w:right w:val="none" w:sz="0" w:space="0" w:color="auto"/>
      </w:divBdr>
    </w:div>
    <w:div w:id="1517233273">
      <w:marLeft w:val="480"/>
      <w:marRight w:val="0"/>
      <w:marTop w:val="0"/>
      <w:marBottom w:val="0"/>
      <w:divBdr>
        <w:top w:val="none" w:sz="0" w:space="0" w:color="auto"/>
        <w:left w:val="none" w:sz="0" w:space="0" w:color="auto"/>
        <w:bottom w:val="none" w:sz="0" w:space="0" w:color="auto"/>
        <w:right w:val="none" w:sz="0" w:space="0" w:color="auto"/>
      </w:divBdr>
    </w:div>
    <w:div w:id="1543328363">
      <w:marLeft w:val="480"/>
      <w:marRight w:val="0"/>
      <w:marTop w:val="0"/>
      <w:marBottom w:val="0"/>
      <w:divBdr>
        <w:top w:val="none" w:sz="0" w:space="0" w:color="auto"/>
        <w:left w:val="none" w:sz="0" w:space="0" w:color="auto"/>
        <w:bottom w:val="none" w:sz="0" w:space="0" w:color="auto"/>
        <w:right w:val="none" w:sz="0" w:space="0" w:color="auto"/>
      </w:divBdr>
    </w:div>
    <w:div w:id="1546719863">
      <w:marLeft w:val="480"/>
      <w:marRight w:val="0"/>
      <w:marTop w:val="0"/>
      <w:marBottom w:val="0"/>
      <w:divBdr>
        <w:top w:val="none" w:sz="0" w:space="0" w:color="auto"/>
        <w:left w:val="none" w:sz="0" w:space="0" w:color="auto"/>
        <w:bottom w:val="none" w:sz="0" w:space="0" w:color="auto"/>
        <w:right w:val="none" w:sz="0" w:space="0" w:color="auto"/>
      </w:divBdr>
    </w:div>
    <w:div w:id="1548640851">
      <w:marLeft w:val="480"/>
      <w:marRight w:val="0"/>
      <w:marTop w:val="0"/>
      <w:marBottom w:val="0"/>
      <w:divBdr>
        <w:top w:val="none" w:sz="0" w:space="0" w:color="auto"/>
        <w:left w:val="none" w:sz="0" w:space="0" w:color="auto"/>
        <w:bottom w:val="none" w:sz="0" w:space="0" w:color="auto"/>
        <w:right w:val="none" w:sz="0" w:space="0" w:color="auto"/>
      </w:divBdr>
    </w:div>
    <w:div w:id="1549563137">
      <w:marLeft w:val="480"/>
      <w:marRight w:val="0"/>
      <w:marTop w:val="0"/>
      <w:marBottom w:val="0"/>
      <w:divBdr>
        <w:top w:val="none" w:sz="0" w:space="0" w:color="auto"/>
        <w:left w:val="none" w:sz="0" w:space="0" w:color="auto"/>
        <w:bottom w:val="none" w:sz="0" w:space="0" w:color="auto"/>
        <w:right w:val="none" w:sz="0" w:space="0" w:color="auto"/>
      </w:divBdr>
    </w:div>
    <w:div w:id="1557467995">
      <w:marLeft w:val="480"/>
      <w:marRight w:val="0"/>
      <w:marTop w:val="0"/>
      <w:marBottom w:val="0"/>
      <w:divBdr>
        <w:top w:val="none" w:sz="0" w:space="0" w:color="auto"/>
        <w:left w:val="none" w:sz="0" w:space="0" w:color="auto"/>
        <w:bottom w:val="none" w:sz="0" w:space="0" w:color="auto"/>
        <w:right w:val="none" w:sz="0" w:space="0" w:color="auto"/>
      </w:divBdr>
    </w:div>
    <w:div w:id="1561133759">
      <w:marLeft w:val="480"/>
      <w:marRight w:val="0"/>
      <w:marTop w:val="0"/>
      <w:marBottom w:val="0"/>
      <w:divBdr>
        <w:top w:val="none" w:sz="0" w:space="0" w:color="auto"/>
        <w:left w:val="none" w:sz="0" w:space="0" w:color="auto"/>
        <w:bottom w:val="none" w:sz="0" w:space="0" w:color="auto"/>
        <w:right w:val="none" w:sz="0" w:space="0" w:color="auto"/>
      </w:divBdr>
    </w:div>
    <w:div w:id="1572235187">
      <w:marLeft w:val="480"/>
      <w:marRight w:val="0"/>
      <w:marTop w:val="0"/>
      <w:marBottom w:val="0"/>
      <w:divBdr>
        <w:top w:val="none" w:sz="0" w:space="0" w:color="auto"/>
        <w:left w:val="none" w:sz="0" w:space="0" w:color="auto"/>
        <w:bottom w:val="none" w:sz="0" w:space="0" w:color="auto"/>
        <w:right w:val="none" w:sz="0" w:space="0" w:color="auto"/>
      </w:divBdr>
    </w:div>
    <w:div w:id="1598900997">
      <w:marLeft w:val="480"/>
      <w:marRight w:val="0"/>
      <w:marTop w:val="0"/>
      <w:marBottom w:val="0"/>
      <w:divBdr>
        <w:top w:val="none" w:sz="0" w:space="0" w:color="auto"/>
        <w:left w:val="none" w:sz="0" w:space="0" w:color="auto"/>
        <w:bottom w:val="none" w:sz="0" w:space="0" w:color="auto"/>
        <w:right w:val="none" w:sz="0" w:space="0" w:color="auto"/>
      </w:divBdr>
    </w:div>
    <w:div w:id="1614557393">
      <w:marLeft w:val="480"/>
      <w:marRight w:val="0"/>
      <w:marTop w:val="0"/>
      <w:marBottom w:val="0"/>
      <w:divBdr>
        <w:top w:val="none" w:sz="0" w:space="0" w:color="auto"/>
        <w:left w:val="none" w:sz="0" w:space="0" w:color="auto"/>
        <w:bottom w:val="none" w:sz="0" w:space="0" w:color="auto"/>
        <w:right w:val="none" w:sz="0" w:space="0" w:color="auto"/>
      </w:divBdr>
    </w:div>
    <w:div w:id="1616331758">
      <w:marLeft w:val="480"/>
      <w:marRight w:val="0"/>
      <w:marTop w:val="0"/>
      <w:marBottom w:val="0"/>
      <w:divBdr>
        <w:top w:val="none" w:sz="0" w:space="0" w:color="auto"/>
        <w:left w:val="none" w:sz="0" w:space="0" w:color="auto"/>
        <w:bottom w:val="none" w:sz="0" w:space="0" w:color="auto"/>
        <w:right w:val="none" w:sz="0" w:space="0" w:color="auto"/>
      </w:divBdr>
    </w:div>
    <w:div w:id="1618759023">
      <w:marLeft w:val="480"/>
      <w:marRight w:val="0"/>
      <w:marTop w:val="0"/>
      <w:marBottom w:val="0"/>
      <w:divBdr>
        <w:top w:val="none" w:sz="0" w:space="0" w:color="auto"/>
        <w:left w:val="none" w:sz="0" w:space="0" w:color="auto"/>
        <w:bottom w:val="none" w:sz="0" w:space="0" w:color="auto"/>
        <w:right w:val="none" w:sz="0" w:space="0" w:color="auto"/>
      </w:divBdr>
    </w:div>
    <w:div w:id="1642071838">
      <w:marLeft w:val="480"/>
      <w:marRight w:val="0"/>
      <w:marTop w:val="0"/>
      <w:marBottom w:val="0"/>
      <w:divBdr>
        <w:top w:val="none" w:sz="0" w:space="0" w:color="auto"/>
        <w:left w:val="none" w:sz="0" w:space="0" w:color="auto"/>
        <w:bottom w:val="none" w:sz="0" w:space="0" w:color="auto"/>
        <w:right w:val="none" w:sz="0" w:space="0" w:color="auto"/>
      </w:divBdr>
    </w:div>
    <w:div w:id="1645282048">
      <w:marLeft w:val="480"/>
      <w:marRight w:val="0"/>
      <w:marTop w:val="0"/>
      <w:marBottom w:val="0"/>
      <w:divBdr>
        <w:top w:val="none" w:sz="0" w:space="0" w:color="auto"/>
        <w:left w:val="none" w:sz="0" w:space="0" w:color="auto"/>
        <w:bottom w:val="none" w:sz="0" w:space="0" w:color="auto"/>
        <w:right w:val="none" w:sz="0" w:space="0" w:color="auto"/>
      </w:divBdr>
    </w:div>
    <w:div w:id="1647590294">
      <w:marLeft w:val="480"/>
      <w:marRight w:val="0"/>
      <w:marTop w:val="0"/>
      <w:marBottom w:val="0"/>
      <w:divBdr>
        <w:top w:val="none" w:sz="0" w:space="0" w:color="auto"/>
        <w:left w:val="none" w:sz="0" w:space="0" w:color="auto"/>
        <w:bottom w:val="none" w:sz="0" w:space="0" w:color="auto"/>
        <w:right w:val="none" w:sz="0" w:space="0" w:color="auto"/>
      </w:divBdr>
    </w:div>
    <w:div w:id="1652707204">
      <w:marLeft w:val="480"/>
      <w:marRight w:val="0"/>
      <w:marTop w:val="0"/>
      <w:marBottom w:val="0"/>
      <w:divBdr>
        <w:top w:val="none" w:sz="0" w:space="0" w:color="auto"/>
        <w:left w:val="none" w:sz="0" w:space="0" w:color="auto"/>
        <w:bottom w:val="none" w:sz="0" w:space="0" w:color="auto"/>
        <w:right w:val="none" w:sz="0" w:space="0" w:color="auto"/>
      </w:divBdr>
    </w:div>
    <w:div w:id="1655335324">
      <w:marLeft w:val="480"/>
      <w:marRight w:val="0"/>
      <w:marTop w:val="0"/>
      <w:marBottom w:val="0"/>
      <w:divBdr>
        <w:top w:val="none" w:sz="0" w:space="0" w:color="auto"/>
        <w:left w:val="none" w:sz="0" w:space="0" w:color="auto"/>
        <w:bottom w:val="none" w:sz="0" w:space="0" w:color="auto"/>
        <w:right w:val="none" w:sz="0" w:space="0" w:color="auto"/>
      </w:divBdr>
    </w:div>
    <w:div w:id="1656765100">
      <w:marLeft w:val="480"/>
      <w:marRight w:val="0"/>
      <w:marTop w:val="0"/>
      <w:marBottom w:val="0"/>
      <w:divBdr>
        <w:top w:val="none" w:sz="0" w:space="0" w:color="auto"/>
        <w:left w:val="none" w:sz="0" w:space="0" w:color="auto"/>
        <w:bottom w:val="none" w:sz="0" w:space="0" w:color="auto"/>
        <w:right w:val="none" w:sz="0" w:space="0" w:color="auto"/>
      </w:divBdr>
    </w:div>
    <w:div w:id="1666938255">
      <w:marLeft w:val="480"/>
      <w:marRight w:val="0"/>
      <w:marTop w:val="0"/>
      <w:marBottom w:val="0"/>
      <w:divBdr>
        <w:top w:val="none" w:sz="0" w:space="0" w:color="auto"/>
        <w:left w:val="none" w:sz="0" w:space="0" w:color="auto"/>
        <w:bottom w:val="none" w:sz="0" w:space="0" w:color="auto"/>
        <w:right w:val="none" w:sz="0" w:space="0" w:color="auto"/>
      </w:divBdr>
    </w:div>
    <w:div w:id="1673146332">
      <w:marLeft w:val="480"/>
      <w:marRight w:val="0"/>
      <w:marTop w:val="0"/>
      <w:marBottom w:val="0"/>
      <w:divBdr>
        <w:top w:val="none" w:sz="0" w:space="0" w:color="auto"/>
        <w:left w:val="none" w:sz="0" w:space="0" w:color="auto"/>
        <w:bottom w:val="none" w:sz="0" w:space="0" w:color="auto"/>
        <w:right w:val="none" w:sz="0" w:space="0" w:color="auto"/>
      </w:divBdr>
    </w:div>
    <w:div w:id="1680427431">
      <w:marLeft w:val="480"/>
      <w:marRight w:val="0"/>
      <w:marTop w:val="0"/>
      <w:marBottom w:val="0"/>
      <w:divBdr>
        <w:top w:val="none" w:sz="0" w:space="0" w:color="auto"/>
        <w:left w:val="none" w:sz="0" w:space="0" w:color="auto"/>
        <w:bottom w:val="none" w:sz="0" w:space="0" w:color="auto"/>
        <w:right w:val="none" w:sz="0" w:space="0" w:color="auto"/>
      </w:divBdr>
    </w:div>
    <w:div w:id="1681589305">
      <w:marLeft w:val="480"/>
      <w:marRight w:val="0"/>
      <w:marTop w:val="0"/>
      <w:marBottom w:val="0"/>
      <w:divBdr>
        <w:top w:val="none" w:sz="0" w:space="0" w:color="auto"/>
        <w:left w:val="none" w:sz="0" w:space="0" w:color="auto"/>
        <w:bottom w:val="none" w:sz="0" w:space="0" w:color="auto"/>
        <w:right w:val="none" w:sz="0" w:space="0" w:color="auto"/>
      </w:divBdr>
    </w:div>
    <w:div w:id="1691371916">
      <w:marLeft w:val="480"/>
      <w:marRight w:val="0"/>
      <w:marTop w:val="0"/>
      <w:marBottom w:val="0"/>
      <w:divBdr>
        <w:top w:val="none" w:sz="0" w:space="0" w:color="auto"/>
        <w:left w:val="none" w:sz="0" w:space="0" w:color="auto"/>
        <w:bottom w:val="none" w:sz="0" w:space="0" w:color="auto"/>
        <w:right w:val="none" w:sz="0" w:space="0" w:color="auto"/>
      </w:divBdr>
    </w:div>
    <w:div w:id="1692419135">
      <w:marLeft w:val="480"/>
      <w:marRight w:val="0"/>
      <w:marTop w:val="0"/>
      <w:marBottom w:val="0"/>
      <w:divBdr>
        <w:top w:val="none" w:sz="0" w:space="0" w:color="auto"/>
        <w:left w:val="none" w:sz="0" w:space="0" w:color="auto"/>
        <w:bottom w:val="none" w:sz="0" w:space="0" w:color="auto"/>
        <w:right w:val="none" w:sz="0" w:space="0" w:color="auto"/>
      </w:divBdr>
    </w:div>
    <w:div w:id="1694112344">
      <w:marLeft w:val="480"/>
      <w:marRight w:val="0"/>
      <w:marTop w:val="0"/>
      <w:marBottom w:val="0"/>
      <w:divBdr>
        <w:top w:val="none" w:sz="0" w:space="0" w:color="auto"/>
        <w:left w:val="none" w:sz="0" w:space="0" w:color="auto"/>
        <w:bottom w:val="none" w:sz="0" w:space="0" w:color="auto"/>
        <w:right w:val="none" w:sz="0" w:space="0" w:color="auto"/>
      </w:divBdr>
    </w:div>
    <w:div w:id="1698389548">
      <w:marLeft w:val="480"/>
      <w:marRight w:val="0"/>
      <w:marTop w:val="0"/>
      <w:marBottom w:val="0"/>
      <w:divBdr>
        <w:top w:val="none" w:sz="0" w:space="0" w:color="auto"/>
        <w:left w:val="none" w:sz="0" w:space="0" w:color="auto"/>
        <w:bottom w:val="none" w:sz="0" w:space="0" w:color="auto"/>
        <w:right w:val="none" w:sz="0" w:space="0" w:color="auto"/>
      </w:divBdr>
    </w:div>
    <w:div w:id="1706296864">
      <w:marLeft w:val="480"/>
      <w:marRight w:val="0"/>
      <w:marTop w:val="0"/>
      <w:marBottom w:val="0"/>
      <w:divBdr>
        <w:top w:val="none" w:sz="0" w:space="0" w:color="auto"/>
        <w:left w:val="none" w:sz="0" w:space="0" w:color="auto"/>
        <w:bottom w:val="none" w:sz="0" w:space="0" w:color="auto"/>
        <w:right w:val="none" w:sz="0" w:space="0" w:color="auto"/>
      </w:divBdr>
    </w:div>
    <w:div w:id="1710379503">
      <w:marLeft w:val="480"/>
      <w:marRight w:val="0"/>
      <w:marTop w:val="0"/>
      <w:marBottom w:val="0"/>
      <w:divBdr>
        <w:top w:val="none" w:sz="0" w:space="0" w:color="auto"/>
        <w:left w:val="none" w:sz="0" w:space="0" w:color="auto"/>
        <w:bottom w:val="none" w:sz="0" w:space="0" w:color="auto"/>
        <w:right w:val="none" w:sz="0" w:space="0" w:color="auto"/>
      </w:divBdr>
    </w:div>
    <w:div w:id="1711221760">
      <w:marLeft w:val="480"/>
      <w:marRight w:val="0"/>
      <w:marTop w:val="0"/>
      <w:marBottom w:val="0"/>
      <w:divBdr>
        <w:top w:val="none" w:sz="0" w:space="0" w:color="auto"/>
        <w:left w:val="none" w:sz="0" w:space="0" w:color="auto"/>
        <w:bottom w:val="none" w:sz="0" w:space="0" w:color="auto"/>
        <w:right w:val="none" w:sz="0" w:space="0" w:color="auto"/>
      </w:divBdr>
    </w:div>
    <w:div w:id="1728915326">
      <w:marLeft w:val="480"/>
      <w:marRight w:val="0"/>
      <w:marTop w:val="0"/>
      <w:marBottom w:val="0"/>
      <w:divBdr>
        <w:top w:val="none" w:sz="0" w:space="0" w:color="auto"/>
        <w:left w:val="none" w:sz="0" w:space="0" w:color="auto"/>
        <w:bottom w:val="none" w:sz="0" w:space="0" w:color="auto"/>
        <w:right w:val="none" w:sz="0" w:space="0" w:color="auto"/>
      </w:divBdr>
    </w:div>
    <w:div w:id="1751583976">
      <w:marLeft w:val="480"/>
      <w:marRight w:val="0"/>
      <w:marTop w:val="0"/>
      <w:marBottom w:val="0"/>
      <w:divBdr>
        <w:top w:val="none" w:sz="0" w:space="0" w:color="auto"/>
        <w:left w:val="none" w:sz="0" w:space="0" w:color="auto"/>
        <w:bottom w:val="none" w:sz="0" w:space="0" w:color="auto"/>
        <w:right w:val="none" w:sz="0" w:space="0" w:color="auto"/>
      </w:divBdr>
    </w:div>
    <w:div w:id="1766924074">
      <w:marLeft w:val="480"/>
      <w:marRight w:val="0"/>
      <w:marTop w:val="0"/>
      <w:marBottom w:val="0"/>
      <w:divBdr>
        <w:top w:val="none" w:sz="0" w:space="0" w:color="auto"/>
        <w:left w:val="none" w:sz="0" w:space="0" w:color="auto"/>
        <w:bottom w:val="none" w:sz="0" w:space="0" w:color="auto"/>
        <w:right w:val="none" w:sz="0" w:space="0" w:color="auto"/>
      </w:divBdr>
    </w:div>
    <w:div w:id="1769621718">
      <w:marLeft w:val="480"/>
      <w:marRight w:val="0"/>
      <w:marTop w:val="0"/>
      <w:marBottom w:val="0"/>
      <w:divBdr>
        <w:top w:val="none" w:sz="0" w:space="0" w:color="auto"/>
        <w:left w:val="none" w:sz="0" w:space="0" w:color="auto"/>
        <w:bottom w:val="none" w:sz="0" w:space="0" w:color="auto"/>
        <w:right w:val="none" w:sz="0" w:space="0" w:color="auto"/>
      </w:divBdr>
    </w:div>
    <w:div w:id="1785274061">
      <w:marLeft w:val="480"/>
      <w:marRight w:val="0"/>
      <w:marTop w:val="0"/>
      <w:marBottom w:val="0"/>
      <w:divBdr>
        <w:top w:val="none" w:sz="0" w:space="0" w:color="auto"/>
        <w:left w:val="none" w:sz="0" w:space="0" w:color="auto"/>
        <w:bottom w:val="none" w:sz="0" w:space="0" w:color="auto"/>
        <w:right w:val="none" w:sz="0" w:space="0" w:color="auto"/>
      </w:divBdr>
    </w:div>
    <w:div w:id="1794058247">
      <w:marLeft w:val="480"/>
      <w:marRight w:val="0"/>
      <w:marTop w:val="0"/>
      <w:marBottom w:val="0"/>
      <w:divBdr>
        <w:top w:val="none" w:sz="0" w:space="0" w:color="auto"/>
        <w:left w:val="none" w:sz="0" w:space="0" w:color="auto"/>
        <w:bottom w:val="none" w:sz="0" w:space="0" w:color="auto"/>
        <w:right w:val="none" w:sz="0" w:space="0" w:color="auto"/>
      </w:divBdr>
    </w:div>
    <w:div w:id="1807622206">
      <w:marLeft w:val="480"/>
      <w:marRight w:val="0"/>
      <w:marTop w:val="0"/>
      <w:marBottom w:val="0"/>
      <w:divBdr>
        <w:top w:val="none" w:sz="0" w:space="0" w:color="auto"/>
        <w:left w:val="none" w:sz="0" w:space="0" w:color="auto"/>
        <w:bottom w:val="none" w:sz="0" w:space="0" w:color="auto"/>
        <w:right w:val="none" w:sz="0" w:space="0" w:color="auto"/>
      </w:divBdr>
    </w:div>
    <w:div w:id="1829395743">
      <w:marLeft w:val="480"/>
      <w:marRight w:val="0"/>
      <w:marTop w:val="0"/>
      <w:marBottom w:val="0"/>
      <w:divBdr>
        <w:top w:val="none" w:sz="0" w:space="0" w:color="auto"/>
        <w:left w:val="none" w:sz="0" w:space="0" w:color="auto"/>
        <w:bottom w:val="none" w:sz="0" w:space="0" w:color="auto"/>
        <w:right w:val="none" w:sz="0" w:space="0" w:color="auto"/>
      </w:divBdr>
    </w:div>
    <w:div w:id="1830827549">
      <w:marLeft w:val="480"/>
      <w:marRight w:val="0"/>
      <w:marTop w:val="0"/>
      <w:marBottom w:val="0"/>
      <w:divBdr>
        <w:top w:val="none" w:sz="0" w:space="0" w:color="auto"/>
        <w:left w:val="none" w:sz="0" w:space="0" w:color="auto"/>
        <w:bottom w:val="none" w:sz="0" w:space="0" w:color="auto"/>
        <w:right w:val="none" w:sz="0" w:space="0" w:color="auto"/>
      </w:divBdr>
    </w:div>
    <w:div w:id="1831284713">
      <w:marLeft w:val="480"/>
      <w:marRight w:val="0"/>
      <w:marTop w:val="0"/>
      <w:marBottom w:val="0"/>
      <w:divBdr>
        <w:top w:val="none" w:sz="0" w:space="0" w:color="auto"/>
        <w:left w:val="none" w:sz="0" w:space="0" w:color="auto"/>
        <w:bottom w:val="none" w:sz="0" w:space="0" w:color="auto"/>
        <w:right w:val="none" w:sz="0" w:space="0" w:color="auto"/>
      </w:divBdr>
    </w:div>
    <w:div w:id="1837920598">
      <w:marLeft w:val="480"/>
      <w:marRight w:val="0"/>
      <w:marTop w:val="0"/>
      <w:marBottom w:val="0"/>
      <w:divBdr>
        <w:top w:val="none" w:sz="0" w:space="0" w:color="auto"/>
        <w:left w:val="none" w:sz="0" w:space="0" w:color="auto"/>
        <w:bottom w:val="none" w:sz="0" w:space="0" w:color="auto"/>
        <w:right w:val="none" w:sz="0" w:space="0" w:color="auto"/>
      </w:divBdr>
    </w:div>
    <w:div w:id="1838416887">
      <w:marLeft w:val="480"/>
      <w:marRight w:val="0"/>
      <w:marTop w:val="0"/>
      <w:marBottom w:val="0"/>
      <w:divBdr>
        <w:top w:val="none" w:sz="0" w:space="0" w:color="auto"/>
        <w:left w:val="none" w:sz="0" w:space="0" w:color="auto"/>
        <w:bottom w:val="none" w:sz="0" w:space="0" w:color="auto"/>
        <w:right w:val="none" w:sz="0" w:space="0" w:color="auto"/>
      </w:divBdr>
    </w:div>
    <w:div w:id="1893272308">
      <w:marLeft w:val="480"/>
      <w:marRight w:val="0"/>
      <w:marTop w:val="0"/>
      <w:marBottom w:val="0"/>
      <w:divBdr>
        <w:top w:val="none" w:sz="0" w:space="0" w:color="auto"/>
        <w:left w:val="none" w:sz="0" w:space="0" w:color="auto"/>
        <w:bottom w:val="none" w:sz="0" w:space="0" w:color="auto"/>
        <w:right w:val="none" w:sz="0" w:space="0" w:color="auto"/>
      </w:divBdr>
    </w:div>
    <w:div w:id="1910142429">
      <w:marLeft w:val="480"/>
      <w:marRight w:val="0"/>
      <w:marTop w:val="0"/>
      <w:marBottom w:val="0"/>
      <w:divBdr>
        <w:top w:val="none" w:sz="0" w:space="0" w:color="auto"/>
        <w:left w:val="none" w:sz="0" w:space="0" w:color="auto"/>
        <w:bottom w:val="none" w:sz="0" w:space="0" w:color="auto"/>
        <w:right w:val="none" w:sz="0" w:space="0" w:color="auto"/>
      </w:divBdr>
    </w:div>
    <w:div w:id="1940139154">
      <w:marLeft w:val="480"/>
      <w:marRight w:val="0"/>
      <w:marTop w:val="0"/>
      <w:marBottom w:val="0"/>
      <w:divBdr>
        <w:top w:val="none" w:sz="0" w:space="0" w:color="auto"/>
        <w:left w:val="none" w:sz="0" w:space="0" w:color="auto"/>
        <w:bottom w:val="none" w:sz="0" w:space="0" w:color="auto"/>
        <w:right w:val="none" w:sz="0" w:space="0" w:color="auto"/>
      </w:divBdr>
    </w:div>
    <w:div w:id="1947158332">
      <w:marLeft w:val="480"/>
      <w:marRight w:val="0"/>
      <w:marTop w:val="0"/>
      <w:marBottom w:val="0"/>
      <w:divBdr>
        <w:top w:val="none" w:sz="0" w:space="0" w:color="auto"/>
        <w:left w:val="none" w:sz="0" w:space="0" w:color="auto"/>
        <w:bottom w:val="none" w:sz="0" w:space="0" w:color="auto"/>
        <w:right w:val="none" w:sz="0" w:space="0" w:color="auto"/>
      </w:divBdr>
    </w:div>
    <w:div w:id="1957179987">
      <w:marLeft w:val="480"/>
      <w:marRight w:val="0"/>
      <w:marTop w:val="0"/>
      <w:marBottom w:val="0"/>
      <w:divBdr>
        <w:top w:val="none" w:sz="0" w:space="0" w:color="auto"/>
        <w:left w:val="none" w:sz="0" w:space="0" w:color="auto"/>
        <w:bottom w:val="none" w:sz="0" w:space="0" w:color="auto"/>
        <w:right w:val="none" w:sz="0" w:space="0" w:color="auto"/>
      </w:divBdr>
    </w:div>
    <w:div w:id="1959338369">
      <w:marLeft w:val="480"/>
      <w:marRight w:val="0"/>
      <w:marTop w:val="0"/>
      <w:marBottom w:val="0"/>
      <w:divBdr>
        <w:top w:val="none" w:sz="0" w:space="0" w:color="auto"/>
        <w:left w:val="none" w:sz="0" w:space="0" w:color="auto"/>
        <w:bottom w:val="none" w:sz="0" w:space="0" w:color="auto"/>
        <w:right w:val="none" w:sz="0" w:space="0" w:color="auto"/>
      </w:divBdr>
    </w:div>
    <w:div w:id="1988436616">
      <w:marLeft w:val="480"/>
      <w:marRight w:val="0"/>
      <w:marTop w:val="0"/>
      <w:marBottom w:val="0"/>
      <w:divBdr>
        <w:top w:val="none" w:sz="0" w:space="0" w:color="auto"/>
        <w:left w:val="none" w:sz="0" w:space="0" w:color="auto"/>
        <w:bottom w:val="none" w:sz="0" w:space="0" w:color="auto"/>
        <w:right w:val="none" w:sz="0" w:space="0" w:color="auto"/>
      </w:divBdr>
    </w:div>
    <w:div w:id="1990984187">
      <w:marLeft w:val="480"/>
      <w:marRight w:val="0"/>
      <w:marTop w:val="0"/>
      <w:marBottom w:val="0"/>
      <w:divBdr>
        <w:top w:val="none" w:sz="0" w:space="0" w:color="auto"/>
        <w:left w:val="none" w:sz="0" w:space="0" w:color="auto"/>
        <w:bottom w:val="none" w:sz="0" w:space="0" w:color="auto"/>
        <w:right w:val="none" w:sz="0" w:space="0" w:color="auto"/>
      </w:divBdr>
    </w:div>
    <w:div w:id="2004777331">
      <w:marLeft w:val="480"/>
      <w:marRight w:val="0"/>
      <w:marTop w:val="0"/>
      <w:marBottom w:val="0"/>
      <w:divBdr>
        <w:top w:val="none" w:sz="0" w:space="0" w:color="auto"/>
        <w:left w:val="none" w:sz="0" w:space="0" w:color="auto"/>
        <w:bottom w:val="none" w:sz="0" w:space="0" w:color="auto"/>
        <w:right w:val="none" w:sz="0" w:space="0" w:color="auto"/>
      </w:divBdr>
    </w:div>
    <w:div w:id="2027360628">
      <w:marLeft w:val="480"/>
      <w:marRight w:val="0"/>
      <w:marTop w:val="0"/>
      <w:marBottom w:val="0"/>
      <w:divBdr>
        <w:top w:val="none" w:sz="0" w:space="0" w:color="auto"/>
        <w:left w:val="none" w:sz="0" w:space="0" w:color="auto"/>
        <w:bottom w:val="none" w:sz="0" w:space="0" w:color="auto"/>
        <w:right w:val="none" w:sz="0" w:space="0" w:color="auto"/>
      </w:divBdr>
    </w:div>
    <w:div w:id="2028947477">
      <w:marLeft w:val="480"/>
      <w:marRight w:val="0"/>
      <w:marTop w:val="0"/>
      <w:marBottom w:val="0"/>
      <w:divBdr>
        <w:top w:val="none" w:sz="0" w:space="0" w:color="auto"/>
        <w:left w:val="none" w:sz="0" w:space="0" w:color="auto"/>
        <w:bottom w:val="none" w:sz="0" w:space="0" w:color="auto"/>
        <w:right w:val="none" w:sz="0" w:space="0" w:color="auto"/>
      </w:divBdr>
    </w:div>
    <w:div w:id="2039895031">
      <w:marLeft w:val="480"/>
      <w:marRight w:val="0"/>
      <w:marTop w:val="0"/>
      <w:marBottom w:val="0"/>
      <w:divBdr>
        <w:top w:val="none" w:sz="0" w:space="0" w:color="auto"/>
        <w:left w:val="none" w:sz="0" w:space="0" w:color="auto"/>
        <w:bottom w:val="none" w:sz="0" w:space="0" w:color="auto"/>
        <w:right w:val="none" w:sz="0" w:space="0" w:color="auto"/>
      </w:divBdr>
    </w:div>
    <w:div w:id="2044136723">
      <w:marLeft w:val="480"/>
      <w:marRight w:val="0"/>
      <w:marTop w:val="0"/>
      <w:marBottom w:val="0"/>
      <w:divBdr>
        <w:top w:val="none" w:sz="0" w:space="0" w:color="auto"/>
        <w:left w:val="none" w:sz="0" w:space="0" w:color="auto"/>
        <w:bottom w:val="none" w:sz="0" w:space="0" w:color="auto"/>
        <w:right w:val="none" w:sz="0" w:space="0" w:color="auto"/>
      </w:divBdr>
    </w:div>
    <w:div w:id="2053338786">
      <w:marLeft w:val="480"/>
      <w:marRight w:val="0"/>
      <w:marTop w:val="0"/>
      <w:marBottom w:val="0"/>
      <w:divBdr>
        <w:top w:val="none" w:sz="0" w:space="0" w:color="auto"/>
        <w:left w:val="none" w:sz="0" w:space="0" w:color="auto"/>
        <w:bottom w:val="none" w:sz="0" w:space="0" w:color="auto"/>
        <w:right w:val="none" w:sz="0" w:space="0" w:color="auto"/>
      </w:divBdr>
    </w:div>
    <w:div w:id="2064399525">
      <w:marLeft w:val="480"/>
      <w:marRight w:val="0"/>
      <w:marTop w:val="0"/>
      <w:marBottom w:val="0"/>
      <w:divBdr>
        <w:top w:val="none" w:sz="0" w:space="0" w:color="auto"/>
        <w:left w:val="none" w:sz="0" w:space="0" w:color="auto"/>
        <w:bottom w:val="none" w:sz="0" w:space="0" w:color="auto"/>
        <w:right w:val="none" w:sz="0" w:space="0" w:color="auto"/>
      </w:divBdr>
    </w:div>
    <w:div w:id="2076052497">
      <w:marLeft w:val="480"/>
      <w:marRight w:val="0"/>
      <w:marTop w:val="0"/>
      <w:marBottom w:val="0"/>
      <w:divBdr>
        <w:top w:val="none" w:sz="0" w:space="0" w:color="auto"/>
        <w:left w:val="none" w:sz="0" w:space="0" w:color="auto"/>
        <w:bottom w:val="none" w:sz="0" w:space="0" w:color="auto"/>
        <w:right w:val="none" w:sz="0" w:space="0" w:color="auto"/>
      </w:divBdr>
    </w:div>
    <w:div w:id="2094740014">
      <w:marLeft w:val="480"/>
      <w:marRight w:val="0"/>
      <w:marTop w:val="0"/>
      <w:marBottom w:val="0"/>
      <w:divBdr>
        <w:top w:val="none" w:sz="0" w:space="0" w:color="auto"/>
        <w:left w:val="none" w:sz="0" w:space="0" w:color="auto"/>
        <w:bottom w:val="none" w:sz="0" w:space="0" w:color="auto"/>
        <w:right w:val="none" w:sz="0" w:space="0" w:color="auto"/>
      </w:divBdr>
    </w:div>
    <w:div w:id="2115127075">
      <w:marLeft w:val="480"/>
      <w:marRight w:val="0"/>
      <w:marTop w:val="0"/>
      <w:marBottom w:val="0"/>
      <w:divBdr>
        <w:top w:val="none" w:sz="0" w:space="0" w:color="auto"/>
        <w:left w:val="none" w:sz="0" w:space="0" w:color="auto"/>
        <w:bottom w:val="none" w:sz="0" w:space="0" w:color="auto"/>
        <w:right w:val="none" w:sz="0" w:space="0" w:color="auto"/>
      </w:divBdr>
    </w:div>
    <w:div w:id="2116712211">
      <w:marLeft w:val="480"/>
      <w:marRight w:val="0"/>
      <w:marTop w:val="0"/>
      <w:marBottom w:val="0"/>
      <w:divBdr>
        <w:top w:val="none" w:sz="0" w:space="0" w:color="auto"/>
        <w:left w:val="none" w:sz="0" w:space="0" w:color="auto"/>
        <w:bottom w:val="none" w:sz="0" w:space="0" w:color="auto"/>
        <w:right w:val="none" w:sz="0" w:space="0" w:color="auto"/>
      </w:divBdr>
    </w:div>
    <w:div w:id="2132698589">
      <w:marLeft w:val="480"/>
      <w:marRight w:val="0"/>
      <w:marTop w:val="0"/>
      <w:marBottom w:val="0"/>
      <w:divBdr>
        <w:top w:val="none" w:sz="0" w:space="0" w:color="auto"/>
        <w:left w:val="none" w:sz="0" w:space="0" w:color="auto"/>
        <w:bottom w:val="none" w:sz="0" w:space="0" w:color="auto"/>
        <w:right w:val="none" w:sz="0" w:space="0" w:color="auto"/>
      </w:divBdr>
    </w:div>
    <w:div w:id="2135443917">
      <w:marLeft w:val="480"/>
      <w:marRight w:val="0"/>
      <w:marTop w:val="0"/>
      <w:marBottom w:val="0"/>
      <w:divBdr>
        <w:top w:val="none" w:sz="0" w:space="0" w:color="auto"/>
        <w:left w:val="none" w:sz="0" w:space="0" w:color="auto"/>
        <w:bottom w:val="none" w:sz="0" w:space="0" w:color="auto"/>
        <w:right w:val="none" w:sz="0" w:space="0" w:color="auto"/>
      </w:divBdr>
    </w:div>
    <w:div w:id="2141729949">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3390/ijfs13030165" TargetMode="External"/><Relationship Id="rId26" Type="http://schemas.openxmlformats.org/officeDocument/2006/relationships/hyperlink" Target="https://doi.org/10.1016/j.procs.2019.09.139" TargetMode="External"/><Relationship Id="rId39" Type="http://schemas.openxmlformats.org/officeDocument/2006/relationships/hyperlink" Target="https://doi.org/10.1080/17520843.2024.2318927" TargetMode="External"/><Relationship Id="rId21" Type="http://schemas.openxmlformats.org/officeDocument/2006/relationships/hyperlink" Target="https://doi.org/10.1037//0022-3514.51.6.1173" TargetMode="External"/><Relationship Id="rId34" Type="http://schemas.openxmlformats.org/officeDocument/2006/relationships/hyperlink" Target="https://doi.org/10.1057/s41599-023-02545-6" TargetMode="External"/><Relationship Id="rId42" Type="http://schemas.openxmlformats.org/officeDocument/2006/relationships/hyperlink" Target="https://doi.org/10.1016/j.bir.2017.05.001" TargetMode="External"/><Relationship Id="rId47" Type="http://schemas.openxmlformats.org/officeDocument/2006/relationships/hyperlink" Target="https://doi.org/10.33061/rsfu.v4i1.3409" TargetMode="External"/><Relationship Id="rId50" Type="http://schemas.openxmlformats.org/officeDocument/2006/relationships/hyperlink" Target="https://doi.org/10.3390/risks12120198"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eny.aditya.pratama-2024@feb.unair.ac.id" TargetMode="External"/><Relationship Id="rId17" Type="http://schemas.openxmlformats.org/officeDocument/2006/relationships/hyperlink" Target="https://doi.org/10.3390/jrfm13060126" TargetMode="External"/><Relationship Id="rId25" Type="http://schemas.openxmlformats.org/officeDocument/2006/relationships/hyperlink" Target="https://doi.org/10.3390/su10062008" TargetMode="External"/><Relationship Id="rId33" Type="http://schemas.openxmlformats.org/officeDocument/2006/relationships/hyperlink" Target="https://doi.org/10.35912/jakman.v7i1.5160" TargetMode="External"/><Relationship Id="rId38" Type="http://schemas.openxmlformats.org/officeDocument/2006/relationships/hyperlink" Target="https://doi.org/10.3390/jrfm18060320" TargetMode="External"/><Relationship Id="rId46" Type="http://schemas.openxmlformats.org/officeDocument/2006/relationships/hyperlink" Target="https://doi.org/10.1108/JES-05-2020-0215" TargetMode="External"/><Relationship Id="rId2" Type="http://schemas.openxmlformats.org/officeDocument/2006/relationships/numbering" Target="numbering.xml"/><Relationship Id="rId16" Type="http://schemas.openxmlformats.org/officeDocument/2006/relationships/hyperlink" Target="https://doi.org/10.14710/dijb.6.1.2023.50-56" TargetMode="External"/><Relationship Id="rId20" Type="http://schemas.openxmlformats.org/officeDocument/2006/relationships/hyperlink" Target="https://doi.org/10.1177/014920639101700108" TargetMode="External"/><Relationship Id="rId29" Type="http://schemas.openxmlformats.org/officeDocument/2006/relationships/hyperlink" Target="https://doi.org/10.1002/ijfe.2697" TargetMode="External"/><Relationship Id="rId41" Type="http://schemas.openxmlformats.org/officeDocument/2006/relationships/hyperlink" Target="https://doi.org/10.26493/1854-6935.20.259-293" TargetMode="External"/><Relationship Id="rId54" Type="http://schemas.openxmlformats.org/officeDocument/2006/relationships/hyperlink" Target="https://doi.org/10.1016/j.jenvman.2020.1116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ika.rochmah91@gmail.com" TargetMode="External"/><Relationship Id="rId24" Type="http://schemas.openxmlformats.org/officeDocument/2006/relationships/hyperlink" Target="https://doi.org/10.1108/CR-04-2019-0040" TargetMode="External"/><Relationship Id="rId32" Type="http://schemas.openxmlformats.org/officeDocument/2006/relationships/hyperlink" Target="https://doi.org/10.1108/CFRI-07-2024-0393" TargetMode="External"/><Relationship Id="rId37" Type="http://schemas.openxmlformats.org/officeDocument/2006/relationships/hyperlink" Target="https://doi.org/10.1016/j.eap.2022.12.024" TargetMode="External"/><Relationship Id="rId40" Type="http://schemas.openxmlformats.org/officeDocument/2006/relationships/hyperlink" Target="https://doi.org/10.1002/bse.2748" TargetMode="External"/><Relationship Id="rId45" Type="http://schemas.openxmlformats.org/officeDocument/2006/relationships/hyperlink" Target="https://doi.org/10.1016/j.eap.2025.01.028" TargetMode="External"/><Relationship Id="rId53" Type="http://schemas.openxmlformats.org/officeDocument/2006/relationships/hyperlink" Target="https://doi.org/10.1016/j.jclepro.2020.124991"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20430795.2020.1870202" TargetMode="External"/><Relationship Id="rId23" Type="http://schemas.openxmlformats.org/officeDocument/2006/relationships/hyperlink" Target="https://doi.org/10.1108/MEQ-12-2017-0149" TargetMode="External"/><Relationship Id="rId28" Type="http://schemas.openxmlformats.org/officeDocument/2006/relationships/hyperlink" Target="https://doi.org/10.1016/j.gfj.2017.03.001" TargetMode="External"/><Relationship Id="rId36" Type="http://schemas.openxmlformats.org/officeDocument/2006/relationships/hyperlink" Target="https://doi.org/10.1007/s11846-022-00529-5" TargetMode="External"/><Relationship Id="rId49" Type="http://schemas.openxmlformats.org/officeDocument/2006/relationships/hyperlink" Target="https://doi.org/10.1108/IJMF-03-2024-0144" TargetMode="External"/><Relationship Id="rId57" Type="http://schemas.openxmlformats.org/officeDocument/2006/relationships/fontTable" Target="fontTable.xml"/><Relationship Id="rId10" Type="http://schemas.openxmlformats.org/officeDocument/2006/relationships/hyperlink" Target="mailto:deltuariesa@gmail.com" TargetMode="External"/><Relationship Id="rId19" Type="http://schemas.openxmlformats.org/officeDocument/2006/relationships/hyperlink" Target="https://doi.org/10.1016/j.bir.2022.11.006" TargetMode="External"/><Relationship Id="rId31" Type="http://schemas.openxmlformats.org/officeDocument/2006/relationships/hyperlink" Target="https://doi.org/10.1007/s11356-022-19401-w" TargetMode="External"/><Relationship Id="rId44" Type="http://schemas.openxmlformats.org/officeDocument/2006/relationships/hyperlink" Target="https://doi.org/10.61401/relevansi.v9i2.353" TargetMode="External"/><Relationship Id="rId52" Type="http://schemas.openxmlformats.org/officeDocument/2006/relationships/hyperlink" Target="https://doi.org/10.1016/j.eap.2023.11.035" TargetMode="External"/><Relationship Id="rId4" Type="http://schemas.openxmlformats.org/officeDocument/2006/relationships/settings" Target="settings.xml"/><Relationship Id="rId9" Type="http://schemas.openxmlformats.org/officeDocument/2006/relationships/hyperlink" Target="mailto:fitri.ismiyanti@feb.unair.ac.id" TargetMode="External"/><Relationship Id="rId14" Type="http://schemas.openxmlformats.org/officeDocument/2006/relationships/image" Target="media/image2.png"/><Relationship Id="rId22" Type="http://schemas.openxmlformats.org/officeDocument/2006/relationships/hyperlink" Target="https://doi.org/10.1016/S0378-4266(97)00003-4" TargetMode="External"/><Relationship Id="rId27" Type="http://schemas.openxmlformats.org/officeDocument/2006/relationships/hyperlink" Target="https://doi.org/10.20525/ijrbs.v13i1.3185" TargetMode="External"/><Relationship Id="rId30" Type="http://schemas.openxmlformats.org/officeDocument/2006/relationships/hyperlink" Target="https://doi.org/10.1108/JEAS-03-2023-0060" TargetMode="External"/><Relationship Id="rId35" Type="http://schemas.openxmlformats.org/officeDocument/2006/relationships/hyperlink" Target="https://doi.org/10.1016/j.jclepro.2022.131069" TargetMode="External"/><Relationship Id="rId43" Type="http://schemas.openxmlformats.org/officeDocument/2006/relationships/hyperlink" Target="https://doi.org/10.1186/s41180-020-00034-3" TargetMode="External"/><Relationship Id="rId48" Type="http://schemas.openxmlformats.org/officeDocument/2006/relationships/hyperlink" Target="https://doi.org/10.61401/relevansi.v9i2.417" TargetMode="External"/><Relationship Id="rId56" Type="http://schemas.openxmlformats.org/officeDocument/2006/relationships/footer" Target="footer1.xml"/><Relationship Id="rId8" Type="http://schemas.openxmlformats.org/officeDocument/2006/relationships/hyperlink" Target="mailto:eunike.dwimilten-2024@feb.unair.ac.id" TargetMode="External"/><Relationship Id="rId51" Type="http://schemas.openxmlformats.org/officeDocument/2006/relationships/hyperlink" Target="https://doi.org/10.1108/0144358121127461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0327B-8345-416F-A24B-004D48281258}">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78102513104"/>
    <we:property name="MENDELEY_CITATIONS" value="[{&quot;citationID&quot;:&quot;MENDELEY_CITATION_62451cce-6fa6-4c76-9052-a6ff1b9f7439&quot;,&quot;properties&quot;:{&quot;noteIndex&quot;:0},&quot;isEdited&quot;:false,&quot;manualOverride&quot;:{&quot;isManuallyOverridden&quot;:true,&quot;citeprocText&quot;:&quot;(Diamond &amp;#38; Dybvig, 1983)&quot;,&quot;manualOverrideText&quot;:&quot;Diamond &amp; Dybvig, 1983&quot;},&quot;citationTag&quot;:&quot;MENDELEY_CITATION_v3_eyJjaXRhdGlvbklEIjoiTUVOREVMRVlfQ0lUQVRJT05fNjI0NTFjY2UtNmZhNi00Yzc2LTkwNTItYTZmZjFiOWY3NDM5IiwicHJvcGVydGllcyI6eyJub3RlSW5kZXgiOjB9LCJpc0VkaXRlZCI6ZmFsc2UsIm1hbnVhbE92ZXJyaWRlIjp7ImlzTWFudWFsbHlPdmVycmlkZGVuIjp0cnVlLCJjaXRlcHJvY1RleHQiOiIoRGlhbW9uZCAmIzM4OyBEeWJ2aWcsIDE5ODMpIiwibWFudWFsT3ZlcnJpZGVUZXh0IjoiRGlhbW9uZCAmIER5YnZpZywgMTk4MyJ9LCJjaXRhdGlvbkl0ZW1zIjpbeyJpZCI6IjhiZWRhNTQzLWVhOGYtMzBlMS1iZTU4LTcxMTBjMmJjMTY3YiIsIml0ZW1EYXRhIjp7InR5cGUiOiJhcnRpY2xlLWpvdXJuYWwiLCJpZCI6IjhiZWRhNTQzLWVhOGYtMzBlMS1iZTU4LTcxMTBjMmJjMTY3YiIsInRpdGxlIjoiQmFuayBSdW5zLCBEZXBvc2l0IEluc3VyYW5jZSwgYW5kIExpcXVpZGl0eSIsImF1dGhvciI6W3siZmFtaWx5IjoiRGlhbW9uZCIsImdpdmVuIjoiRG91Z2xhcyBXIiwicGFyc2UtbmFtZXMiOmZhbHNlLCJkcm9wcGluZy1wYXJ0aWNsZSI6IiIsIm5vbi1kcm9wcGluZy1wYXJ0aWNsZSI6IiJ9LHsiZmFtaWx5IjoiRHlidmlnIiwiZ2l2ZW4iOiJQaGlsaXAgSCIsInBhcnNlLW5hbWVzIjpmYWxzZSwiZHJvcHBpbmctcGFydGljbGUiOiIiLCJub24tZHJvcHBpbmctcGFydGljbGUiOiIifV0sImNvbnRhaW5lci10aXRsZSI6IkpvdXJuYWwgb2YgUG9saXRpY2FsIEVjb25vbXkiLCJET0kiOiIxMC4xMDg2LzI2MTE1NSIsImlzc3VlZCI6eyJkYXRlLXBhcnRzIjpbWzE5ODNdXX0sInBhZ2UiOiI0MDEtNDE5IiwiaXNzdWUiOiIzIiwidm9sdW1lIjoiOTEiLCJjb250YWluZXItdGl0bGUtc2hvcnQiOiIifSwiaXNUZW1wb3JhcnkiOmZhbHNlfV19&quot;,&quot;citationItems&quot;:[{&quot;id&quot;:&quot;8beda543-ea8f-30e1-be58-7110c2bc167b&quot;,&quot;itemData&quot;:{&quot;type&quot;:&quot;article-journal&quot;,&quot;id&quot;:&quot;8beda543-ea8f-30e1-be58-7110c2bc167b&quot;,&quot;title&quot;:&quot;Bank Runs, Deposit Insurance, and Liquidity&quot;,&quot;author&quot;:[{&quot;family&quot;:&quot;Diamond&quot;,&quot;given&quot;:&quot;Douglas W&quot;,&quot;parse-names&quot;:false,&quot;dropping-particle&quot;:&quot;&quot;,&quot;non-dropping-particle&quot;:&quot;&quot;},{&quot;family&quot;:&quot;Dybvig&quot;,&quot;given&quot;:&quot;Philip H&quot;,&quot;parse-names&quot;:false,&quot;dropping-particle&quot;:&quot;&quot;,&quot;non-dropping-particle&quot;:&quot;&quot;}],&quot;container-title&quot;:&quot;Journal of Political Economy&quot;,&quot;DOI&quot;:&quot;10.1086/261155&quot;,&quot;issued&quot;:{&quot;date-parts&quot;:[[1983]]},&quot;page&quot;:&quot;401-419&quot;,&quot;issue&quot;:&quot;3&quot;,&quot;volume&quot;:&quot;91&quot;,&quot;container-title-short&quot;:&quot;&quot;},&quot;isTemporary&quot;:false}]},{&quot;citationID&quot;:&quot;MENDELEY_CITATION_33e8c529-f445-4a8b-acdc-2c9dfc3b8ffc&quot;,&quot;properties&quot;:{&quot;noteIndex&quot;:0},&quot;isEdited&quot;:false,&quot;manualOverride&quot;:{&quot;isManuallyOverridden&quot;:true,&quot;citeprocText&quot;:&quot;(R. S. Riyanti, 2025)&quot;,&quot;manualOverrideText&quot;:&quot;(Riyanti et al, 2025)&quot;},&quot;citationTag&quot;:&quot;MENDELEY_CITATION_v3_eyJjaXRhdGlvbklEIjoiTUVOREVMRVlfQ0lUQVRJT05fMzNlOGM1MjktZjQ0NS00YThiLWFjZGMtMmM5ZGZjM2I4ZmZjIiwicHJvcGVydGllcyI6eyJub3RlSW5kZXgiOjB9LCJpc0VkaXRlZCI6ZmFsc2UsIm1hbnVhbE92ZXJyaWRlIjp7ImlzTWFudWFsbHlPdmVycmlkZGVuIjp0cnVlLCJjaXRlcHJvY1RleHQiOiIoUi4gUy4gUml5YW50aSwgMjAyNSkiLCJtYW51YWxPdmVycmlkZVRleHQiOiIoUml5YW50aSBldCBhbCwgMjAyNSkifSwiY2l0YXRpb25JdGVtcyI6W3siaWQiOiJhZjk1NzVjZC0yNTMwLTNiMzItOTUxNy05NGYzZGE1NzhkOTgiLCJpdGVtRGF0YSI6eyJ0eXBlIjoiYXJ0aWNsZS1qb3VybmFsIiwiaWQiOiJhZjk1NzVjZC0yNTMwLTNiMzItOTUxNy05NGYzZGE1NzhkOTgiLCJ0aXRsZSI6IkdyZWVuIGxvYW5zOiBOYXZpZ2F0aW5nIHRoZSBwYXRoIHRvIHN1c3RhaW5hYmxlIHByb2ZpdGFiaWxpdHkgaW4gYmFua2luZyIsImF1dGhvciI6W3siZmFtaWx5IjoiUml5YW50aSIsImdpdmVuIjoiUiBTIiwicGFyc2UtbmFtZXMiOmZhbHNlLCJkcm9wcGluZy1wYXJ0aWNsZSI6IiIsIm5vbi1kcm9wcGluZy1wYXJ0aWNsZSI6IiJ9XSwiY29udGFpbmVyLXRpdGxlIjoiRWNvbm9taWMgQW5hbHlzaXMgYW5kIFBvbGljeSIsImNvbnRhaW5lci10aXRsZS1zaG9ydCI6IkVjb24uIEFuYWwuIFBvbGljeSIsIkRPSSI6IjEwLjEwMTYvai5lYXAuMjAyNS4wMS4wMjgiLCJJU1NOIjoiMjIwNC0yMjk2IiwiVVJMIjoiaHR0cHM6Ly9hcGkuZWxzZXZpZXIuY29tL2NvbnRlbnQvYXJ0aWNsZS9laWQvMS1zMi4wLVMwMzEzNTkyNjI1MDAwMjgxIiwiaXNzdWVkIjp7ImRhdGUtcGFydHMiOltbMjAyNV1dfSwicGFnZSI6IjE2MTMtMTYyNCIsInZvbHVtZSI6Ijg1In0sImlzVGVtcG9yYXJ5IjpmYWxzZX1dfQ==&quot;,&quot;citationItems&quot;:[{&quot;id&quot;:&quot;af9575cd-2530-3b32-9517-94f3da578d98&quot;,&quot;itemData&quot;:{&quot;type&quot;:&quot;article-journal&quot;,&quot;id&quot;:&quot;af9575cd-2530-3b32-9517-94f3da578d98&quot;,&quot;title&quot;:&quot;Green loans: Navigating the path to sustainable profitability in banking&quot;,&quot;author&quot;:[{&quot;family&quot;:&quot;Riyanti&quot;,&quot;given&quot;:&quot;R S&quot;,&quot;parse-names&quot;:false,&quot;dropping-particle&quot;:&quot;&quot;,&quot;non-dropping-particle&quot;:&quot;&quot;}],&quot;container-title&quot;:&quot;Economic Analysis and Policy&quot;,&quot;container-title-short&quot;:&quot;Econ. Anal. Policy&quot;,&quot;DOI&quot;:&quot;10.1016/j.eap.2025.01.028&quot;,&quot;ISSN&quot;:&quot;2204-2296&quot;,&quot;URL&quot;:&quot;https://api.elsevier.com/content/article/eid/1-s2.0-S0313592625000281&quot;,&quot;issued&quot;:{&quot;date-parts&quot;:[[2025]]},&quot;page&quot;:&quot;1613-1624&quot;,&quot;volume&quot;:&quot;85&quot;},&quot;isTemporary&quot;:false}]},{&quot;citationID&quot;:&quot;MENDELEY_CITATION_93b03a20-c13b-472d-87c6-ced8d0769a3b&quot;,&quot;properties&quot;:{&quot;noteIndex&quot;:0},&quot;isEdited&quot;:false,&quot;manualOverride&quot;:{&quot;isManuallyOverridden&quot;:true,&quot;citeprocText&quot;:&quot;(Mirza &amp;#38; others, 2023)&quot;,&quot;manualOverrideText&quot;:&quot;(Mirza et al, 2023)&quot;},&quot;citationTag&quot;:&quot;MENDELEY_CITATION_v3_eyJjaXRhdGlvbklEIjoiTUVOREVMRVlfQ0lUQVRJT05fOTNiMDNhMjAtYzEzYi00NzJkLTg3YzYtY2VkOGQwNzY5YTNiIiwicHJvcGVydGllcyI6eyJub3RlSW5kZXgiOjB9LCJpc0VkaXRlZCI6ZmFsc2UsIm1hbnVhbE92ZXJyaWRlIjp7ImlzTWFudWFsbHlPdmVycmlkZGVuIjp0cnVlLCJjaXRlcHJvY1RleHQiOiIoTWlyemEgJiMzODsgb3RoZXJzLCAyMDIzKSIsIm1hbnVhbE92ZXJyaWRlVGV4dCI6IihNaXJ6YSBldCBhbCwgMjAyMykifSwiY2l0YXRpb25JdGVtcyI6W3siaWQiOiIyYzQ5NDE4YS1jZTc1LTM0NTUtODNkYS1lZDkyMjM3ZmRmOGUiLCJpdGVtRGF0YSI6eyJ0eXBlIjoiYXJ0aWNsZS1qb3VybmFsIiwiaWQiOiIyYzQ5NDE4YS1jZTc1LTM0NTUtODNkYS1lZDkyMjM3ZmRmOGUiLCJ0aXRsZSI6IkdyZWVuIENyZWRpdCBhbmQgU01FIEZpbmFuY2luZyBpbiBCUklDIENvdW50cmllcyIsImF1dGhvciI6W3siZmFtaWx5IjoiTWlyemEiLCJnaXZlbiI6Ik5hd2F6aXNo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NdXX19LCJpc1RlbXBvcmFyeSI6ZmFsc2V9XX0=&quot;,&quot;citationItems&quot;:[{&quot;id&quot;:&quot;2c49418a-ce75-3455-83da-ed92237fdf8e&quot;,&quot;itemData&quot;:{&quot;type&quot;:&quot;article-journal&quot;,&quot;id&quot;:&quot;2c49418a-ce75-3455-83da-ed92237fdf8e&quot;,&quot;title&quot;:&quot;Green Credit and SME Financing in BRIC Countries&quot;,&quot;author&quot;:[{&quot;family&quot;:&quot;Mirza&quot;,&quot;given&quot;:&quot;Nawazish&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3]]}},&quot;isTemporary&quot;:false}]},{&quot;citationID&quot;:&quot;MENDELEY_CITATION_a9d50e8f-eba7-4954-bc8d-852756d6950a&quot;,&quot;properties&quot;:{&quot;noteIndex&quot;:0},&quot;isEdited&quot;:false,&quot;manualOverride&quot;:{&quot;isManuallyOverridden&quot;:true,&quot;citeprocText&quot;:&quot;(Akomea-Frimpong et al., 2022)&quot;,&quot;manualOverrideText&quot;:&quot;Akomea-Frimpong et al. (2022)&quot;},&quot;citationTag&quot;:&quot;MENDELEY_CITATION_v3_eyJjaXRhdGlvbklEIjoiTUVOREVMRVlfQ0lUQVRJT05fYTlkNTBlOGYtZWJhNy00OTU0LWJjOGQtODUyNzU2ZDY5NTBhIiwicHJvcGVydGllcyI6eyJub3RlSW5kZXgiOjB9LCJpc0VkaXRlZCI6ZmFsc2UsIm1hbnVhbE92ZXJyaWRlIjp7ImlzTWFudWFsbHlPdmVycmlkZGVuIjp0cnVlLCJjaXRlcHJvY1RleHQiOiIoQWtvbWVhLUZyaW1wb25nIGV0IGFsLiwgMjAyMikiLCJtYW51YWxPdmVycmlkZVRleHQiOiJBa29tZWEtRnJpbXBvbmcgZXQgYWwuICgyMDIyKSJ9LCJjaXRhdGlvbkl0ZW1zIjpbeyJpZCI6ImQ3YzBiMWRkLWU5MjItMzQ5ZC1iZDEwLTIxN2RjN2VlMjVhMyIsIml0ZW1EYXRhIjp7InR5cGUiOiJhcnRpY2xlLWpvdXJuYWwiLCJpZCI6ImQ3YzBiMWRkLWU5MjItMzQ5ZC1iZDEwLTIxN2RjN2VlMjVhMyIsInRpdGxlIjoiQSBSZXZpZXcgb2YgU3R1ZGllcyBvbiBHcmVlbiBGaW5hbmNlIG9mIEJhbmtzLCBSZXNlYXJjaCBHYXBzIGFuZCBGdXR1cmUgRGlyZWN0aW9ucyIsImF1dGhvciI6W3siZmFtaWx5IjoiQWtvbWVhLUZyaW1wb25nIiwiZ2l2ZW4iOiJJc2FhYyIsInBhcnNlLW5hbWVzIjpmYWxzZSwiZHJvcHBpbmctcGFydGljbGUiOiIiLCJub24tZHJvcHBpbmctcGFydGljbGUiOiIifSx7ImZhbWlseSI6IkFkZWFiYWgiLCJnaXZlbiI6IkRhdmlkIiwicGFyc2UtbmFtZXMiOmZhbHNlLCJkcm9wcGluZy1wYXJ0aWNsZSI6IiIsIm5vbi1kcm9wcGluZy1wYXJ0aWNsZSI6IiJ9LHsiZmFtaWx5IjoiT2Zvc3UiLCJnaXZlbiI6IkRhbmllbCIsInBhcnNlLW5hbWVzIjpmYWxzZSwiZHJvcHBpbmctcGFydGljbGUiOiIiLCJub24tZHJvcHBpbmctcGFydGljbGUiOiIifSx7ImZhbWlseSI6IlRlbmFrd2FoIiwiZ2l2ZW4iOiJFbW1hbnVlbCBKdW5pb3IiLCJwYXJzZS1uYW1lcyI6ZmFsc2UsImRyb3BwaW5nLXBhcnRpY2xlIjoiIiwibm9uLWRyb3BwaW5nLXBhcnRpY2xlIjoiIn1dLCJjb250YWluZXItdGl0bGUiOiJKb3VybmFsIG9mIFN1c3RhaW5hYmxlIEZpbmFuY2UgJiBJbnZlc3RtZW50IiwiRE9JIjoiMTAuMTA4MC8yMDQzMDc5NS4yMDIxLjE5NjU5MDciLCJpc3N1ZWQiOnsiZGF0ZS1wYXJ0cyI6W1syMDIyXV19LCJwYWdlIjoiODAyLTgyMSIsInB1Ymxpc2hlciI6IlRheWxvciAmIEZyYW5jaXMiLCJpc3N1ZSI6IjMiLCJ2b2x1bWUiOiIxMiIsImNvbnRhaW5lci10aXRsZS1zaG9ydCI6IiJ9LCJpc1RlbXBvcmFyeSI6ZmFsc2V9XX0=&quot;,&quot;citationItems&quot;:[{&quot;id&quot;:&quot;d7c0b1dd-e922-349d-bd10-217dc7ee25a3&quot;,&quot;itemData&quot;:{&quot;type&quot;:&quot;article-journal&quot;,&quot;id&quot;:&quot;d7c0b1dd-e922-349d-bd10-217dc7ee25a3&quot;,&quot;title&quot;:&quot;A Review of Studies on Green Finance of Banks, Research Gaps and Future Directions&quot;,&quot;author&quot;:[{&quot;family&quot;:&quot;Akomea-Frimpong&quot;,&quot;given&quot;:&quot;Isaac&quot;,&quot;parse-names&quot;:false,&quot;dropping-particle&quot;:&quot;&quot;,&quot;non-dropping-particle&quot;:&quot;&quot;},{&quot;family&quot;:&quot;Adeabah&quot;,&quot;given&quot;:&quot;David&quot;,&quot;parse-names&quot;:false,&quot;dropping-particle&quot;:&quot;&quot;,&quot;non-dropping-particle&quot;:&quot;&quot;},{&quot;family&quot;:&quot;Ofosu&quot;,&quot;given&quot;:&quot;Daniel&quot;,&quot;parse-names&quot;:false,&quot;dropping-particle&quot;:&quot;&quot;,&quot;non-dropping-particle&quot;:&quot;&quot;},{&quot;family&quot;:&quot;Tenakwah&quot;,&quot;given&quot;:&quot;Emmanuel Junior&quot;,&quot;parse-names&quot;:false,&quot;dropping-particle&quot;:&quot;&quot;,&quot;non-dropping-particle&quot;:&quot;&quot;}],&quot;container-title&quot;:&quot;Journal of Sustainable Finance &amp; Investment&quot;,&quot;DOI&quot;:&quot;10.1080/20430795.2021.1965907&quot;,&quot;issued&quot;:{&quot;date-parts&quot;:[[2022]]},&quot;page&quot;:&quot;802-821&quot;,&quot;publisher&quot;:&quot;Taylor &amp; Francis&quot;,&quot;issue&quot;:&quot;3&quot;,&quot;volume&quot;:&quot;12&quot;,&quot;container-title-short&quot;:&quot;&quot;},&quot;isTemporary&quot;:false}]},{&quot;citationID&quot;:&quot;MENDELEY_CITATION_7a794bf3-5535-4e2e-b028-daef45ed5dea&quot;,&quot;properties&quot;:{&quot;noteIndex&quot;:0},&quot;isEdited&quot;:false,&quot;manualOverride&quot;:{&quot;isManuallyOverridden&quot;:true,&quot;citeprocText&quot;:&quot;(Alessi et al., 2021)&quot;,&quot;manualOverrideText&quot;:&quot;Alessi et al. (2021)&quot;},&quot;citationTag&quot;:&quot;MENDELEY_CITATION_v3_eyJjaXRhdGlvbklEIjoiTUVOREVMRVlfQ0lUQVRJT05fN2E3OTRiZjMtNTUzNS00ZTJlLWIwMjgtZGFlZjQ1ZWQ1ZGVhIiwicHJvcGVydGllcyI6eyJub3RlSW5kZXgiOjB9LCJpc0VkaXRlZCI6ZmFsc2UsIm1hbnVhbE92ZXJyaWRlIjp7ImlzTWFudWFsbHlPdmVycmlkZGVuIjp0cnVlLCJjaXRlcHJvY1RleHQiOiIoQWxlc3NpIGV0IGFsLiwgMjAyMSkiLCJtYW51YWxPdmVycmlkZVRleHQiOiJBbGVzc2kgZXQgYWwuICgyMDIxKSJ9LCJjaXRhdGlvbkl0ZW1zIjpbeyJpZCI6ImJlYjc0ODhhLTk0ZjktMzQ5NC04YjNiLWVjZWQwZGQxMjcyMSIsIml0ZW1EYXRhIjp7InR5cGUiOiJhcnRpY2xlLWpvdXJuYWwiLCJpZCI6ImJlYjc0ODhhLTk0ZjktMzQ5NC04YjNiLWVjZWQwZGQxMjcyMSIsInRpdGxlIjoiRmluYW5jaWFsaXphdGlvbiBhbmQgSW52ZXN0bWVudDogQSBOb24tTGluZWFyLCBUaW1lLVZhcnlpbmcgQXBwcm9hY2giLCJhdXRob3IiOlt7ImZhbWlseSI6IkFsZXNzaSIsImdpdmVuIjoiTHVjaWEiLCJwYXJzZS1uYW1lcyI6ZmFsc2UsImRyb3BwaW5nLXBhcnRpY2xlIjoiIiwibm9uLWRyb3BwaW5nLXBhcnRpY2xlIjoiIn0seyJmYW1pbHkiOiJCYXR0aXN0b24iLCJnaXZlbiI6IlN0ZWZhbm8iLCJwYXJzZS1uYW1lcyI6ZmFsc2UsImRyb3BwaW5nLXBhcnRpY2xlIjoiIiwibm9uLWRyb3BwaW5nLXBhcnRpY2xlIjoiIn0seyJmYW1pbHkiOiJLdmVkYXJhcyIsImdpdmVuIjoiVmlybWFudGFzIiwicGFyc2UtbmFtZXMiOmZhbHNlLCJkcm9wcGluZy1wYXJ0aWNsZSI6IiIsIm5vbi1kcm9wcGluZy1wYXJ0aWNsZSI6IiJ9XSwiY29udGFpbmVyLXRpdGxlIjoiVGVjaG5vbG9naWNhbCBGb3JlY2FzdGluZyBhbmQgU29jaWFsIENoYW5nZSIsImNvbnRhaW5lci10aXRsZS1zaG9ydCI6IlRlY2hub2wuIEZvcmVjYXN0LiBTb2MuIENoYW5nZSIsIkRPSSI6IjEwLjEwMTYvai50ZWNoZm9yZS4yMDIxLjEyMDYxOSIsImlzc3VlZCI6eyJkYXRlLXBhcnRzIjpbWzIwMjFdXX0sInBhZ2UiOiIxMjA2MTkiLCJwdWJsaXNoZXIiOiJFbHNldmllciIsInZvbHVtZSI6IjE2NiJ9LCJpc1RlbXBvcmFyeSI6ZmFsc2V9XX0=&quot;,&quot;citationItems&quot;:[{&quot;id&quot;:&quot;beb7488a-94f9-3494-8b3b-eced0dd12721&quot;,&quot;itemData&quot;:{&quot;type&quot;:&quot;article-journal&quot;,&quot;id&quot;:&quot;beb7488a-94f9-3494-8b3b-eced0dd12721&quot;,&quot;title&quot;:&quot;Financialization and Investment: A Non-Linear, Time-Varying Approach&quot;,&quot;author&quot;:[{&quot;family&quot;:&quot;Alessi&quot;,&quot;given&quot;:&quot;Lucia&quot;,&quot;parse-names&quot;:false,&quot;dropping-particle&quot;:&quot;&quot;,&quot;non-dropping-particle&quot;:&quot;&quot;},{&quot;family&quot;:&quot;Battiston&quot;,&quot;given&quot;:&quot;Stefano&quot;,&quot;parse-names&quot;:false,&quot;dropping-particle&quot;:&quot;&quot;,&quot;non-dropping-particle&quot;:&quot;&quot;},{&quot;family&quot;:&quot;Kvedaras&quot;,&quot;given&quot;:&quot;Virmantas&quot;,&quot;parse-names&quot;:false,&quot;dropping-particle&quot;:&quot;&quot;,&quot;non-dropping-particle&quot;:&quot;&quot;}],&quot;container-title&quot;:&quot;Technological Forecasting and Social Change&quot;,&quot;container-title-short&quot;:&quot;Technol. Forecast. Soc. Change&quot;,&quot;DOI&quot;:&quot;10.1016/j.techfore.2021.120619&quot;,&quot;issued&quot;:{&quot;date-parts&quot;:[[2021]]},&quot;page&quot;:&quot;120619&quot;,&quot;publisher&quot;:&quot;Elsevier&quot;,&quot;volume&quot;:&quot;166&quot;},&quot;isTemporary&quot;:false}]},{&quot;citationID&quot;:&quot;MENDELEY_CITATION_27a62c4c-487c-4f53-b8b3-e228e751e76d&quot;,&quot;properties&quot;:{&quot;noteIndex&quot;:0},&quot;isEdited&quot;:false,&quot;manualOverride&quot;:{&quot;isManuallyOverridden&quot;:true,&quot;citeprocText&quot;:&quot;(Anh Tu et al., 2023)&quot;,&quot;manualOverrideText&quot;:&quot;Anh Tu et al. (2023)&quot;},&quot;citationTag&quot;:&quot;MENDELEY_CITATION_v3_eyJjaXRhdGlvbklEIjoiTUVOREVMRVlfQ0lUQVRJT05fMjdhNjJjNGMtNDg3Yy00ZjUzLWI4YjMtZTIyOGU3NTFlNzZkIiwicHJvcGVydGllcyI6eyJub3RlSW5kZXgiOjB9LCJpc0VkaXRlZCI6ZmFsc2UsIm1hbnVhbE92ZXJyaWRlIjp7ImlzTWFudWFsbHlPdmVycmlkZGVuIjp0cnVlLCJjaXRlcHJvY1RleHQiOiIoQW5oIFR1IGV0IGFsLiwgMjAyMykiLCJtYW51YWxPdmVycmlkZVRleHQiOiJBbmggVHUgZXQgYWwuICgyMDIzKSJ9LCJjaXRhdGlvbkl0ZW1zIjpbeyJpZCI6IjE4MGIzYzUzLWM3NDItM2FhOS1hNmYxLTkxZWYzMjZjOTE4NSIsIml0ZW1EYXRhIjp7InR5cGUiOiJhcnRpY2xlLWpvdXJuYWwiLCJpZCI6IjE4MGIzYzUzLWM3NDItM2FhOS1hNmYxLTkxZWYzMjZjOTE4NSIsInRpdGxlIjoiRmFjdG9ycyBJbmZsdWVuY2luZyB0aGUgR3JlZW4gQm9uZCBNYXJrZXQgRXhwYW5zaW9uOiBFdmlkZW5jZSBmcm9tIGEgTXVsdGktRGltZW5zaW9uYWwgQW5hbHlzaXMiLCJhdXRob3IiOlt7ImZhbWlseSI6IkFuaCBUdSIsImdpdmVuIjoiQ2h1YyIsInBhcnNlLW5hbWVzIjpmYWxzZSwiZHJvcHBpbmctcGFydGljbGUiOiIiLCJub24tZHJvcHBpbmctcGFydGljbGUiOiIifSx7ImZhbWlseSI6IlNhcmtlciIsImdpdmVuIjoiVGFwYW4iLCJwYXJzZS1uYW1lcyI6ZmFsc2UsImRyb3BwaW5nLXBhcnRpY2xlIjoiIiwibm9uLWRyb3BwaW5nLXBhcnRpY2xlIjoiIn0seyJmYW1pbHkiOiJSYXNvdWxpbmV6aGFkIiwiZ2l2ZW4iOiJFaHNhbiIsInBhcnNlLW5hbWVzIjpmYWxzZSwiZHJvcHBpbmctcGFydGljbGUiOiIiLCJub24tZHJvcHBpbmctcGFydGljbGUiOiIifV0sImNvbnRhaW5lci10aXRsZSI6IkpvdXJuYWwgb2YgUmlzayBhbmQgRmluYW5jaWFsIE1hbmFnZW1lbnQiLCJET0kiOiIxMC4zMzkwL2pyZm0xNjAzMDEzMSIsImlzc3VlZCI6eyJkYXRlLXBhcnRzIjpbWzIwMjNdXX0sInBhZ2UiOiIxMzEiLCJwdWJsaXNoZXIiOiJNRFBJIiwiaXNzdWUiOiIzIiwidm9sdW1lIjoiMTYiLCJjb250YWluZXItdGl0bGUtc2hvcnQiOiIifSwiaXNUZW1wb3JhcnkiOmZhbHNlfV19&quot;,&quot;citationItems&quot;:[{&quot;id&quot;:&quot;180b3c53-c742-3aa9-a6f1-91ef326c9185&quot;,&quot;itemData&quot;:{&quot;type&quot;:&quot;article-journal&quot;,&quot;id&quot;:&quot;180b3c53-c742-3aa9-a6f1-91ef326c9185&quot;,&quot;title&quot;:&quot;Factors Influencing the Green Bond Market Expansion: Evidence from a Multi-Dimensional Analysis&quot;,&quot;author&quot;:[{&quot;family&quot;:&quot;Anh Tu&quot;,&quot;given&quot;:&quot;Chuc&quot;,&quot;parse-names&quot;:false,&quot;dropping-particle&quot;:&quot;&quot;,&quot;non-dropping-particle&quot;:&quot;&quot;},{&quot;family&quot;:&quot;Sarker&quot;,&quot;given&quot;:&quot;Tapan&quot;,&quot;parse-names&quot;:false,&quot;dropping-particle&quot;:&quot;&quot;,&quot;non-dropping-particle&quot;:&quot;&quot;},{&quot;family&quot;:&quot;Rasoulinezhad&quot;,&quot;given&quot;:&quot;Ehsan&quot;,&quot;parse-names&quot;:false,&quot;dropping-particle&quot;:&quot;&quot;,&quot;non-dropping-particle&quot;:&quot;&quot;}],&quot;container-title&quot;:&quot;Journal of Risk and Financial Management&quot;,&quot;DOI&quot;:&quot;10.3390/jrfm16030131&quot;,&quot;issued&quot;:{&quot;date-parts&quot;:[[2023]]},&quot;page&quot;:&quot;131&quot;,&quot;publisher&quot;:&quot;MDPI&quot;,&quot;issue&quot;:&quot;3&quot;,&quot;volume&quot;:&quot;16&quot;,&quot;container-title-short&quot;:&quot;&quot;},&quot;isTemporary&quot;:false}]},{&quot;citationID&quot;:&quot;MENDELEY_CITATION_a56eaee7-8c8e-44be-8a0d-0164945ad59f&quot;,&quot;properties&quot;:{&quot;noteIndex&quot;:0},&quot;isEdited&quot;:false,&quot;manualOverride&quot;:{&quot;isManuallyOverridden&quot;:true,&quot;citeprocText&quot;:&quot;(Khan et al., 2024)&quot;,&quot;manualOverrideText&quot;:&quot;Khan et al. (2024&quot;},&quot;citationTag&quot;:&quot;MENDELEY_CITATION_v3_eyJjaXRhdGlvbklEIjoiTUVOREVMRVlfQ0lUQVRJT05fYTU2ZWFlZTctOGM4ZS00NGJlLThhMGQtMDE2NDk0NWFkNTlmIiwicHJvcGVydGllcyI6eyJub3RlSW5kZXgiOjB9LCJpc0VkaXRlZCI6ZmFsc2UsIm1hbnVhbE92ZXJyaWRlIjp7ImlzTWFudWFsbHlPdmVycmlkZGVuIjp0cnVlLCJjaXRlcHJvY1RleHQiOiIoS2hhbiBldCBhbC4sIDIwMjQpIiwibWFudWFsT3ZlcnJpZGVUZXh0IjoiS2hhbiBldCBhbC4gKDIwMjQifSwiY2l0YXRpb25JdGVtcyI6W3siaWQiOiIxNzY0ZDdhOC1jODM2LTMzZjItOWI4OS04ZWViNjBiMTJlMGEiLCJpdGVtRGF0YSI6eyJ0eXBlIjoiYXJ0aWNsZS1qb3VybmFsIiwiaWQiOiIxNzY0ZDdhOC1jODM2LTMzZjItOWI4OS04ZWViNjBiMTJlMGEiLCJ0aXRsZSI6IkdyZWVuIEZpbmFuY2UgYW5kIEJhbmtpbmcgU3RhYmlsaXR5IGluIEVtZXJnaW5nIEVjb25vbWllcyIsImF1dGhvciI6W3siZmFtaWx5IjoiS2hhbiIsImdpdmVuIjoiSGFiaWIgVXIgUmFobWFuIiwicGFyc2UtbmFtZXMiOmZhbHNlLCJkcm9wcGluZy1wYXJ0aWNsZSI6IiIsIm5vbi1kcm9wcGluZy1wYXJ0aWNsZSI6IiJ9LHsiZmFtaWx5IjoiQWxpIiwiZ2l2ZW4iOiJTYWppZCIsInBhcnNlLW5hbWVzIjpmYWxzZSwiZHJvcHBpbmctcGFydGljbGUiOiIiLCJub24tZHJvcHBpbmctcGFydGljbGUiOiIifSx7ImZhbWlseSI6IktoYW4iLCJnaXZlbiI6Ik11aGFtbWFkIEFzaWYiLCJwYXJzZS1uYW1lcyI6ZmFsc2UsImRyb3BwaW5nLXBhcnRpY2xlIjoiIiwibm9uLWRyb3BwaW5nLXBhcnRpY2xlIjoiIn0seyJmYW1pbHkiOiJTb2hhaWwiLCJnaXZlbiI6Ik11aGFtbWFkIFRheXlhYiIsInBhcnNlLW5hbWVzIjpmYWxzZSwiZHJvcHBpbmctcGFydGljbGUiOiIiLCJub24tZHJvcHBpbmctcGFydGljbGUiOiIifV0sImNvbnRhaW5lci10aXRsZSI6IkVudmlyb25tZW50YWwgU2NpZW5jZSBhbmQgUG9sbHV0aW9uIFJlc2VhcmNoIiwiRE9JIjoiMTAuMTAwNy9zMTEzNTYtMDI0LTMyNTY3LXgiLCJpc3N1ZWQiOnsiZGF0ZS1wYXJ0cyI6W1syMDI0XV19LCJwYWdlIjoiMjMwNDUtMjMwNjIiLCJwdWJsaXNoZXIiOiJTcHJpbmdlciIsImlzc3VlIjoiMTUiLCJ2b2x1bWUiOiIzMSIsImNvbnRhaW5lci10aXRsZS1zaG9ydCI6IiJ9LCJpc1RlbXBvcmFyeSI6ZmFsc2V9XX0=&quot;,&quot;citationItems&quot;:[{&quot;id&quot;:&quot;1764d7a8-c836-33f2-9b89-8eeb60b12e0a&quot;,&quot;itemData&quot;:{&quot;type&quot;:&quot;article-journal&quot;,&quot;id&quot;:&quot;1764d7a8-c836-33f2-9b89-8eeb60b12e0a&quot;,&quot;title&quot;:&quot;Green Finance and Banking Stability in Emerging Economies&quot;,&quot;author&quot;:[{&quot;family&quot;:&quot;Khan&quot;,&quot;given&quot;:&quot;Habib Ur Rahman&quot;,&quot;parse-names&quot;:false,&quot;dropping-particle&quot;:&quot;&quot;,&quot;non-dropping-particle&quot;:&quot;&quot;},{&quot;family&quot;:&quot;Ali&quot;,&quot;given&quot;:&quot;Sajid&quot;,&quot;parse-names&quot;:false,&quot;dropping-particle&quot;:&quot;&quot;,&quot;non-dropping-particle&quot;:&quot;&quot;},{&quot;family&quot;:&quot;Khan&quot;,&quot;given&quot;:&quot;Muhammad Asif&quot;,&quot;parse-names&quot;:false,&quot;dropping-particle&quot;:&quot;&quot;,&quot;non-dropping-particle&quot;:&quot;&quot;},{&quot;family&quot;:&quot;Sohail&quot;,&quot;given&quot;:&quot;Muhammad Tayyab&quot;,&quot;parse-names&quot;:false,&quot;dropping-particle&quot;:&quot;&quot;,&quot;non-dropping-particle&quot;:&quot;&quot;}],&quot;container-title&quot;:&quot;Environmental Science and Pollution Research&quot;,&quot;DOI&quot;:&quot;10.1007/s11356-024-32567-x&quot;,&quot;issued&quot;:{&quot;date-parts&quot;:[[2024]]},&quot;page&quot;:&quot;23045-23062&quot;,&quot;publisher&quot;:&quot;Springer&quot;,&quot;issue&quot;:&quot;15&quot;,&quot;volume&quot;:&quot;31&quot;,&quot;container-title-short&quot;:&quot;&quot;},&quot;isTemporary&quot;:false}]},{&quot;citationID&quot;:&quot;MENDELEY_CITATION_37bdfd6b-c974-4c96-ae65-a97a815f9b53&quot;,&quot;properties&quot;:{&quot;noteIndex&quot;:0},&quot;isEdited&quot;:false,&quot;manualOverride&quot;:{&quot;isManuallyOverridden&quot;:true,&quot;citeprocText&quot;:&quot;(Park &amp;#38; Kim, 2020)&quot;,&quot;manualOverrideText&quot;:&quot;Park &amp; Kim (2020)&quot;},&quot;citationTag&quot;:&quot;MENDELEY_CITATION_v3_eyJjaXRhdGlvbklEIjoiTUVOREVMRVlfQ0lUQVRJT05fMzdiZGZkNmItYzk3NC00Yzk2LWFlNjUtYTk3YTgxNWY5YjUzIiwicHJvcGVydGllcyI6eyJub3RlSW5kZXgiOjB9LCJpc0VkaXRlZCI6ZmFsc2UsIm1hbnVhbE92ZXJyaWRlIjp7ImlzTWFudWFsbHlPdmVycmlkZGVuIjp0cnVlLCJjaXRlcHJvY1RleHQiOiIoUGFyayAmIzM4OyBLaW0sIDIwMjApIiwibWFudWFsT3ZlcnJpZGVUZXh0IjoiUGFyayAmIEtpbSAoMjAyMCkifSwiY2l0YXRpb25JdGVtcyI6W3siaWQiOiI0YjdhNGIyMS0yOGNlLTM2MjctYmYzZS0zNGJjYTgzYTJmZWEiLCJpdGVtRGF0YSI6eyJ0eXBlIjoiYXJ0aWNsZS1qb3VybmFsIiwiaWQiOiI0YjdhNGIyMS0yOGNlLTM2MjctYmYzZS0zNGJjYTgzYTJmZWEiLCJ0aXRsZSI6IlRyYW5zaXRpb24gVG93YXJkcyBHcmVlbiBCYW5raW5nOiBSb2xlIG9mIEZpbmFuY2lhbCBSZWd1bGF0b3JzIGFuZCBGaW5hbmNpYWwgSW5zdGl0dXRpb25zIiwiYXV0aG9yIjpbeyJmYW1pbHkiOiJQYXJrIiwiZ2l2ZW4iOiJIeW91bmdrdW4iLCJwYXJzZS1uYW1lcyI6ZmFsc2UsImRyb3BwaW5nLXBhcnRpY2xlIjoiIiwibm9uLWRyb3BwaW5nLXBhcnRpY2xlIjoiIn0seyJmYW1pbHkiOiJLaW0iLCJnaXZlbiI6IkpvbmcgRGFlIiwicGFyc2UtbmFtZXMiOmZhbHNlLCJkcm9wcGluZy1wYXJ0aWNsZSI6IiIsIm5vbi1kcm9wcGluZy1wYXJ0aWNsZSI6IiJ9XSwiY29udGFpbmVyLXRpdGxlIjoiQXNpYW4gSm91cm5hbCBvZiBTdXN0YWluYWJpbGl0eSBhbmQgU29jaWFsIFJlc3BvbnNpYmlsaXR5IiwiRE9JIjoiMTAuMTE4Ni9zNDExODAtMDIwLTAwMDM0LTMiLCJpc3N1ZWQiOnsiZGF0ZS1wYXJ0cyI6W1syMDIwXV19LCJwYWdlIjoiNSIsInB1Ymxpc2hlciI6IlNwcmluZ2VyIiwiaXNzdWUiOiIxIiwidm9sdW1lIjoiNSIsImNvbnRhaW5lci10aXRsZS1zaG9ydCI6IiJ9LCJpc1RlbXBvcmFyeSI6ZmFsc2V9XX0=&quot;,&quot;citationItems&quot;:[{&quot;id&quot;:&quot;4b7a4b21-28ce-3627-bf3e-34bca83a2fea&quot;,&quot;itemData&quot;:{&quot;type&quot;:&quot;article-journal&quot;,&quot;id&quot;:&quot;4b7a4b21-28ce-3627-bf3e-34bca83a2fea&quot;,&quot;title&quot;:&quot;Transition Towards Green Banking: Role of Financial Regulators and Financial Institutions&quot;,&quot;author&quot;:[{&quot;family&quot;:&quot;Park&quot;,&quot;given&quot;:&quot;Hyoungkun&quot;,&quot;parse-names&quot;:false,&quot;dropping-particle&quot;:&quot;&quot;,&quot;non-dropping-particle&quot;:&quot;&quot;},{&quot;family&quot;:&quot;Kim&quot;,&quot;given&quot;:&quot;Jong Dae&quot;,&quot;parse-names&quot;:false,&quot;dropping-particle&quot;:&quot;&quot;,&quot;non-dropping-particle&quot;:&quot;&quot;}],&quot;container-title&quot;:&quot;Asian Journal of Sustainability and Social Responsibility&quot;,&quot;DOI&quot;:&quot;10.1186/s41180-020-00034-3&quot;,&quot;issued&quot;:{&quot;date-parts&quot;:[[2020]]},&quot;page&quot;:&quot;5&quot;,&quot;publisher&quot;:&quot;Springer&quot;,&quot;issue&quot;:&quot;1&quot;,&quot;volume&quot;:&quot;5&quot;,&quot;container-title-short&quot;:&quot;&quot;},&quot;isTemporary&quot;:false}]},{&quot;citationID&quot;:&quot;MENDELEY_CITATION_6ffc2b74-8661-4b5c-818b-6559910aacb6&quot;,&quot;properties&quot;:{&quot;noteIndex&quot;:0},&quot;isEdited&quot;:false,&quot;manualOverride&quot;:{&quot;isManuallyOverridden&quot;:true,&quot;citeprocText&quot;:&quot;(Sutrisno, 2024)&quot;,&quot;manualOverrideText&quot;:&quot;(Sutrisno et al., 2024)&quot;},&quot;citationTag&quot;:&quot;MENDELEY_CITATION_v3_eyJjaXRhdGlvbklEIjoiTUVOREVMRVlfQ0lUQVRJT05fNmZmYzJiNzQtODY2MS00YjVjLTgxOGItNjU1OTkxMGFhY2I2IiwicHJvcGVydGllcyI6eyJub3RlSW5kZXgiOjB9LCJpc0VkaXRlZCI6ZmFsc2UsIm1hbnVhbE92ZXJyaWRlIjp7ImlzTWFudWFsbHlPdmVycmlkZGVuIjp0cnVlLCJjaXRlcHJvY1RleHQiOiIoU3V0cmlzbm8sIDIwMjQpIiwibWFudWFsT3ZlcnJpZGVUZXh0IjoiKFN1dHJpc25vIGV0IGFsLiwgMjAyNCkifSwiY2l0YXRpb25JdGVtcyI6W3siaWQiOiI4MjQ1ZGUxZi1kZGU5LTMwOTUtYTIxMy1jZDJmOTBhY2FkMDgiLCJpdGVtRGF0YSI6eyJ0eXBlIjoiYXJ0aWNsZS1qb3VybmFsIiwiaWQiOiI4MjQ1ZGUxZi1kZGU5LTMwOTUtYTIxMy1jZDJmOTBhY2FkMDgiLCJ0aXRsZSI6IlRoZSBSb2xlIG9mIEdyZWVuIENyZWRpdCBpbiBCYW5rIFByb2ZpdGFiaWxpdHkgYW5kIFN0YWJpbGl0eTogQSBDYXNlIFN0dWR5IG9uIEdyZWVuIEJhbmtpbmcgaW4gSW5kb25lc2lhIiwiYXV0aG9yIjpbeyJmYW1pbHkiOiJTdXRyaXNubyIsImdpdmVuIjoiUyIsInBhcnNlLW5hbWVzIjpmYWxzZSwiZHJvcHBpbmctcGFydGljbGUiOiIiLCJub24tZHJvcHBpbmctcGFydGljbGUiOiIifV0sImNvbnRhaW5lci10aXRsZSI6IlJpc2tzIiwiRE9JIjoiMTAuMzM5MC9yaXNrczEyMTIwMTk4IiwiSVNTTiI6IjIyMjctOTA5MSIsIlVSTCI6Imh0dHBzOi8vd3d3LnNjb3B1cy5jb20vaW53YXJkL3JlY29yZC51cmk/cGFydG5lcklEPUh6T3hNZTNiJnNjcD04NTIxMzM1OTA5NCZvcmlnaW49aW53YXJkIiwiaXNzdWVkIjp7ImRhdGUtcGFydHMiOltbMjAyNF1dfSwiaXNzdWUiOiIxMiIsInZvbHVtZSI6IjEyIiwiY29udGFpbmVyLXRpdGxlLXNob3J0IjoiIn0sImlzVGVtcG9yYXJ5IjpmYWxzZX1dfQ==&quot;,&quot;citationItems&quot;:[{&quot;id&quot;:&quot;8245de1f-dde9-3095-a213-cd2f90acad08&quot;,&quot;itemData&quot;:{&quot;type&quot;:&quot;article-journal&quot;,&quot;id&quot;:&quot;8245de1f-dde9-3095-a213-cd2f90acad08&quot;,&quot;title&quot;:&quot;The Role of Green Credit in Bank Profitability and Stability: A Case Study on Green Banking in Indonesia&quot;,&quot;author&quot;:[{&quot;family&quot;:&quot;Sutrisno&quot;,&quot;given&quot;:&quot;S&quot;,&quot;parse-names&quot;:false,&quot;dropping-particle&quot;:&quot;&quot;,&quot;non-dropping-particle&quot;:&quot;&quot;}],&quot;container-title&quot;:&quot;Risks&quot;,&quot;DOI&quot;:&quot;10.3390/risks12120198&quot;,&quot;ISSN&quot;:&quot;2227-9091&quot;,&quot;URL&quot;:&quot;https://www.scopus.com/inward/record.uri?partnerID=HzOxMe3b&amp;scp=85213359094&amp;origin=inward&quot;,&quot;issued&quot;:{&quot;date-parts&quot;:[[2024]]},&quot;issue&quot;:&quot;12&quot;,&quot;volume&quot;:&quot;12&quot;,&quot;container-title-short&quot;:&quot;&quot;},&quot;isTemporary&quot;:false}]},{&quot;citationID&quot;:&quot;MENDELEY_CITATION_43e7c68b-1925-45e3-b5af-dc988db37813&quot;,&quot;properties&quot;:{&quot;noteIndex&quot;:0},&quot;isEdited&quot;:false,&quot;manualOverride&quot;:{&quot;isManuallyOverridden&quot;:true,&quot;citeprocText&quot;:&quot;(R. S. Riyanti, 2025)&quot;,&quot;manualOverrideText&quot;:&quot;(Riyanti et al., 2025)&quot;},&quot;citationTag&quot;:&quot;MENDELEY_CITATION_v3_eyJjaXRhdGlvbklEIjoiTUVOREVMRVlfQ0lUQVRJT05fNDNlN2M2OGItMTkyNS00NWUzLWI1YWYtZGM5ODhkYjM3ODEzIiwicHJvcGVydGllcyI6eyJub3RlSW5kZXgiOjB9LCJpc0VkaXRlZCI6ZmFsc2UsIm1hbnVhbE92ZXJyaWRlIjp7ImlzTWFudWFsbHlPdmVycmlkZGVuIjp0cnVlLCJjaXRlcHJvY1RleHQiOiIoUi4gUy4gUml5YW50aSwgMjAyNSkiLCJtYW51YWxPdmVycmlkZVRleHQiOiIoUml5YW50aSBldCBhbC4sIDIwMjUpIn0sImNpdGF0aW9uSXRlbXMiOlt7ImlkIjoiYWY5NTc1Y2QtMjUzMC0zYjMyLTk1MTctOTRmM2RhNTc4ZDk4IiwiaXRlbURhdGEiOnsidHlwZSI6ImFydGljbGUtam91cm5hbCIsImlkIjoiYWY5NTc1Y2QtMjUzMC0zYjMyLTk1MTctOTRmM2RhNTc4ZDk4IiwidGl0bGUiOiJHcmVlbiBsb2FuczogTmF2aWdhdGluZyB0aGUgcGF0aCB0byBzdXN0YWluYWJsZSBwcm9maXRhYmlsaXR5IGluIGJhbmtpbmciLCJhdXRob3IiOlt7ImZhbWlseSI6IlJpeWFudGkiLCJnaXZlbiI6IlIgUyIsInBhcnNlLW5hbWVzIjpmYWxzZSwiZHJvcHBpbmctcGFydGljbGUiOiIiLCJub24tZHJvcHBpbmctcGFydGljbGUiOiIifV0sImNvbnRhaW5lci10aXRsZSI6IkVjb25vbWljIEFuYWx5c2lzIGFuZCBQb2xpY3kiLCJjb250YWluZXItdGl0bGUtc2hvcnQiOiJFY29uLiBBbmFsLiBQb2xpY3kiLCJET0kiOiIxMC4xMDE2L2ouZWFwLjIwMjUuMDEuMDI4IiwiSVNTTiI6IjIyMDQtMjI5NiIsIlVSTCI6Imh0dHBzOi8vYXBpLmVsc2V2aWVyLmNvbS9jb250ZW50L2FydGljbGUvZWlkLzEtczIuMC1TMDMxMzU5MjYyNTAwMDI4MSIsImlzc3VlZCI6eyJkYXRlLXBhcnRzIjpbWzIwMjVdXX0sInBhZ2UiOiIxNjEzLTE2MjQiLCJ2b2x1bWUiOiI4NSJ9LCJpc1RlbXBvcmFyeSI6ZmFsc2UsInN1cHByZXNzLWF1dGhvciI6ZmFsc2UsImNvbXBvc2l0ZSI6ZmFsc2UsImF1dGhvci1vbmx5IjpmYWxzZX1dfQ==&quot;,&quot;citationItems&quot;:[{&quot;id&quot;:&quot;af9575cd-2530-3b32-9517-94f3da578d98&quot;,&quot;itemData&quot;:{&quot;type&quot;:&quot;article-journal&quot;,&quot;id&quot;:&quot;af9575cd-2530-3b32-9517-94f3da578d98&quot;,&quot;title&quot;:&quot;Green loans: Navigating the path to sustainable profitability in banking&quot;,&quot;author&quot;:[{&quot;family&quot;:&quot;Riyanti&quot;,&quot;given&quot;:&quot;R S&quot;,&quot;parse-names&quot;:false,&quot;dropping-particle&quot;:&quot;&quot;,&quot;non-dropping-particle&quot;:&quot;&quot;}],&quot;container-title&quot;:&quot;Economic Analysis and Policy&quot;,&quot;container-title-short&quot;:&quot;Econ. Anal. Policy&quot;,&quot;DOI&quot;:&quot;10.1016/j.eap.2025.01.028&quot;,&quot;ISSN&quot;:&quot;2204-2296&quot;,&quot;URL&quot;:&quot;https://api.elsevier.com/content/article/eid/1-s2.0-S0313592625000281&quot;,&quot;issued&quot;:{&quot;date-parts&quot;:[[2025]]},&quot;page&quot;:&quot;1613-1624&quot;,&quot;volume&quot;:&quot;85&quot;},&quot;isTemporary&quot;:false,&quot;suppress-author&quot;:false,&quot;composite&quot;:false,&quot;author-only&quot;:false}]},{&quot;citationID&quot;:&quot;MENDELEY_CITATION_871c0c2d-3fd1-4a47-801f-5179732ff25b&quot;,&quot;properties&quot;:{&quot;noteIndex&quot;:0},&quot;isEdited&quot;:false,&quot;manualOverride&quot;:{&quot;isManuallyOverridden&quot;:true,&quot;citeprocText&quot;:&quot;(Andaiyani &amp;#38; others, 2023)&quot;,&quot;manualOverrideText&quot;:&quot;(Andaiyani et al, 2023)&quot;},&quot;citationTag&quot;:&quot;MENDELEY_CITATION_v3_eyJjaXRhdGlvbklEIjoiTUVOREVMRVlfQ0lUQVRJT05fODcxYzBjMmQtM2ZkMS00YTQ3LTgwMWYtNTE3OTczMmZmMjViIiwicHJvcGVydGllcyI6eyJub3RlSW5kZXgiOjB9LCJpc0VkaXRlZCI6ZmFsc2UsIm1hbnVhbE92ZXJyaWRlIjp7ImlzTWFudWFsbHlPdmVycmlkZGVuIjp0cnVlLCJjaXRlcHJvY1RleHQiOiIoQW5kYWl5YW5pICYjMzg7IG90aGVycywgMjAyMykiLCJtYW51YWxPdmVycmlkZVRleHQiOiIoQW5kYWl5YW5pIGV0IGFsLCAyMDIzKSJ9LCJjaXRhdGlvbkl0ZW1zIjpbeyJpZCI6ImM0YjBlZTJhLTFkNGYtMzRiZS1iYmYzLWEyZDVlNTEwMzc0MiIsIml0ZW1EYXRhIjp7InR5cGUiOiJhcnRpY2xlLWpvdXJuYWwiLCJpZCI6ImM0YjBlZTJhLTFkNGYtMzRiZS1iYmYzLWEyZDVlNTEwMzc0MiIsInRpdGxlIjoiVGhlIEltcGFjdCBvZiBHcmVlbiBMb2FucyBvbiB0aGUgRmluYW5jaWFsIFBlcmZvcm1hbmNlIG9mIENvbnZlbnRpb25hbCBCYW5rcyBpbiBJbmRvbmVzaWEiLCJhdXRob3IiOlt7ImZhbWlseSI6IkFuZGFpeWFuaSIsImdpdmVuIjoiU3JpIiwicGFyc2UtbmFtZXMiOmZhbHNlLCJkcm9wcGluZy1wYXJ0aWNsZSI6IiIsIm5vbi1kcm9wcGluZy1wYXJ0aWNsZSI6IiJ9LHsiZmFtaWx5Ijoib3RoZXJzIiwiZ2l2ZW4iOiIiLCJwYXJzZS1uYW1lcyI6ZmFsc2UsImRyb3BwaW5nLXBhcnRpY2xlIjoiIiwibm9uLWRyb3BwaW5nLXBhcnRpY2xlIjoiIn1dLCJjb250YWluZXItdGl0bGUiOiJJbmRvbmVzaWFuIEpvdXJuYWwgb2YgU3VzdGFpbmFibGUgRmluYW5jZSIsImlzc3VlZCI6eyJkYXRlLXBhcnRzIjpbWzIwMjNdXX0sImNvbnRhaW5lci10aXRsZS1zaG9ydCI6IiJ9LCJpc1RlbXBvcmFyeSI6ZmFsc2V9XX0=&quot;,&quot;citationItems&quot;:[{&quot;id&quot;:&quot;c4b0ee2a-1d4f-34be-bbf3-a2d5e5103742&quot;,&quot;itemData&quot;:{&quot;type&quot;:&quot;article-journal&quot;,&quot;id&quot;:&quot;c4b0ee2a-1d4f-34be-bbf3-a2d5e5103742&quot;,&quot;title&quot;:&quot;The Impact of Green Loans on the Financial Performance of Conventional Banks in Indonesia&quot;,&quot;author&quot;:[{&quot;family&quot;:&quot;Andaiyani&quot;,&quot;given&quot;:&quot;Sri&quot;,&quot;parse-names&quot;:false,&quot;dropping-particle&quot;:&quot;&quot;,&quot;non-dropping-particle&quot;:&quot;&quot;},{&quot;family&quot;:&quot;others&quot;,&quot;given&quot;:&quot;&quot;,&quot;parse-names&quot;:false,&quot;dropping-particle&quot;:&quot;&quot;,&quot;non-dropping-particle&quot;:&quot;&quot;}],&quot;container-title&quot;:&quot;Indonesian Journal of Sustainable Finance&quot;,&quot;issued&quot;:{&quot;date-parts&quot;:[[2023]]},&quot;container-title-short&quot;:&quot;&quot;},&quot;isTemporary&quot;:false}]},{&quot;citationID&quot;:&quot;MENDELEY_CITATION_53643037-3a24-449e-b99f-777dff1db4f0&quot;,&quot;properties&quot;:{&quot;noteIndex&quot;:0},&quot;isEdited&quot;:false,&quot;manualOverride&quot;:{&quot;isManuallyOverridden&quot;:true,&quot;citeprocText&quot;:&quot;(Aydoğmuş et al., 2022)&quot;,&quot;manualOverrideText&quot;:&quot;Aydoğmuş et al. (2022)&quot;},&quot;citationTag&quot;:&quot;MENDELEY_CITATION_v3_eyJjaXRhdGlvbklEIjoiTUVOREVMRVlfQ0lUQVRJT05fNTM2NDMwMzctM2EyNC00NDllLWI5OWYtNzc3ZGZmMWRiNGYwIiwicHJvcGVydGllcyI6eyJub3RlSW5kZXgiOjB9LCJpc0VkaXRlZCI6ZmFsc2UsIm1hbnVhbE92ZXJyaWRlIjp7ImlzTWFudWFsbHlPdmVycmlkZGVuIjp0cnVlLCJjaXRlcHJvY1RleHQiOiIoQXlkb8SfbXXFnyBldCBhbC4sIDIwMjIpIiwibWFudWFsT3ZlcnJpZGVUZXh0IjoiQXlkb8SfbXXFnyBldCBhbC4gKDIwMjIpIn0sImNpdGF0aW9uSXRlbXMiOlt7ImlkIjoiMzI2ZTdjN2UtMWMyNC0zY2M2LTg3NDUtOTJkMDJiMWUwMGM5IiwiaXRlbURhdGEiOnsidHlwZSI6ImFydGljbGUtam91cm5hbCIsImlkIjoiMzI2ZTdjN2UtMWMyNC0zY2M2LTg3NDUtOTJkMDJiMWUwMGM5IiwidGl0bGUiOiJUaGUgSW1wYWN0IG9mIEVTRyBQZXJmb3JtYW5jZSBvbiBGaXJtIFZhbHVlIGFuZCBQcm9maXRhYmlsaXR5IiwiYXV0aG9yIjpbeyJmYW1pbHkiOiJBeWRvxJ9tdcWfIiwiZ2l2ZW4iOiJNYWhtdXQiLCJwYXJzZS1uYW1lcyI6ZmFsc2UsImRyb3BwaW5nLXBhcnRpY2xlIjoiIiwibm9uLWRyb3BwaW5nLXBhcnRpY2xlIjoiIn0seyJmYW1pbHkiOiJHw7xsxZ9haCIsImdpdmVuIjoiU2Vub2wiLCJwYXJzZS1uYW1lcyI6ZmFsc2UsImRyb3BwaW5nLXBhcnRpY2xlIjoiIiwibm9uLWRyb3BwaW5nLXBhcnRpY2xlIjoiIn0seyJmYW1pbHkiOiJBa3NveWx1IiwiZ2l2ZW4iOiJTZW1yYSIsInBhcnNlLW5hbWVzIjpmYWxzZSwiZHJvcHBpbmctcGFydGljbGUiOiIiLCJub24tZHJvcHBpbmctcGFydGljbGUiOiIifV0sImNvbnRhaW5lci10aXRsZSI6IkJvcnNhIElzdGFuYnVsIFJldmlldyIsIkRPSSI6IjEwLjEwMTYvai5iaXIuMjAyMi4xMS4wMDYiLCJpc3N1ZWQiOnsiZGF0ZS1wYXJ0cyI6W1syMDIyXV19LCJwYWdlIjoiUzExOeKAk1MxMjciLCJwdWJsaXNoZXIiOiJFbHNldmllciIsInZvbHVtZSI6IjIyIiwiY29udGFpbmVyLXRpdGxlLXNob3J0IjoiIn0sImlzVGVtcG9yYXJ5IjpmYWxzZX1dfQ==&quot;,&quot;citationItems&quot;:[{&quot;id&quot;:&quot;326e7c7e-1c24-3cc6-8745-92d02b1e00c9&quot;,&quot;itemData&quot;:{&quot;type&quot;:&quot;article-journal&quot;,&quot;id&quot;:&quot;326e7c7e-1c24-3cc6-8745-92d02b1e00c9&quot;,&quot;title&quot;:&quot;The Impact of ESG Performance on Firm Value and Profitability&quot;,&quot;author&quot;:[{&quot;family&quot;:&quot;Aydoğmuş&quot;,&quot;given&quot;:&quot;Mahmut&quot;,&quot;parse-names&quot;:false,&quot;dropping-particle&quot;:&quot;&quot;,&quot;non-dropping-particle&quot;:&quot;&quot;},{&quot;family&quot;:&quot;Gülşah&quot;,&quot;given&quot;:&quot;Senol&quot;,&quot;parse-names&quot;:false,&quot;dropping-particle&quot;:&quot;&quot;,&quot;non-dropping-particle&quot;:&quot;&quot;},{&quot;family&quot;:&quot;Aksoylu&quot;,&quot;given&quot;:&quot;Semra&quot;,&quot;parse-names&quot;:false,&quot;dropping-particle&quot;:&quot;&quot;,&quot;non-dropping-particle&quot;:&quot;&quot;}],&quot;container-title&quot;:&quot;Borsa Istanbul Review&quot;,&quot;DOI&quot;:&quot;10.1016/j.bir.2022.11.006&quot;,&quot;issued&quot;:{&quot;date-parts&quot;:[[2022]]},&quot;page&quot;:&quot;S119–S127&quot;,&quot;publisher&quot;:&quot;Elsevier&quot;,&quot;volume&quot;:&quot;22&quot;,&quot;container-title-short&quot;:&quot;&quot;},&quot;isTemporary&quot;:false}]},{&quot;citationID&quot;:&quot;MENDELEY_CITATION_2ad58c83-b895-4c99-bc50-fd3d054349b5&quot;,&quot;properties&quot;:{&quot;noteIndex&quot;:0},&quot;isEdited&quot;:false,&quot;manualOverride&quot;:{&quot;isManuallyOverridden&quot;:true,&quot;citeprocText&quot;:&quot;(Buallay, 2019)&quot;,&quot;manualOverrideText&quot;:&quot;Buallay (2019)&quot;},&quot;citationTag&quot;:&quot;MENDELEY_CITATION_v3_eyJjaXRhdGlvbklEIjoiTUVOREVMRVlfQ0lUQVRJT05fMmFkNThjODMtYjg5NS00Yzk5LWJjNTAtZmQzZDA1NDM0OWI1IiwicHJvcGVydGllcyI6eyJub3RlSW5kZXgiOjB9LCJpc0VkaXRlZCI6ZmFsc2UsIm1hbnVhbE92ZXJyaWRlIjp7ImlzTWFudWFsbHlPdmVycmlkZGVuIjp0cnVlLCJjaXRlcHJvY1RleHQiOiIoQnVhbGxheSwgMjAxOSkiLCJtYW51YWxPdmVycmlkZVRleHQiOiJCdWFsbGF5ICgyMDE5KSJ9LCJjaXRhdGlvbkl0ZW1zIjpbeyJpZCI6ImVmNjgzNzExLWU3NmUtMzYwZi05YTFmLTQ4NzA0NmU4ZDNhMyIsIml0ZW1EYXRhIjp7InR5cGUiOiJhcnRpY2xlLWpvdXJuYWwiLCJpZCI6ImVmNjgzNzExLWU3NmUtMzYwZi05YTFmLTQ4NzA0NmU4ZDNhMyIsInRpdGxlIjoiSXMgU3VzdGFpbmFiaWxpdHkgUmVwb3J0aW5nIChFU0cpIEFzc29jaWF0ZWQgd2l0aCBQZXJmb3JtYW5jZT8gRXZpZGVuY2UgZnJvbSB0aGUgRXVyb3BlYW4gQmFua2luZyBTZWN0b3IiLCJhdXRob3IiOlt7ImZhbWlseSI6IkJ1YWxsYXkiLCJnaXZlbiI6IkFtaW5hIiwicGFyc2UtbmFtZXMiOmZhbHNlLCJkcm9wcGluZy1wYXJ0aWNsZSI6IiIsIm5vbi1kcm9wcGluZy1wYXJ0aWNsZSI6IiJ9XSwiY29udGFpbmVyLXRpdGxlIjoiTWFuYWdlbWVudCBvZiBFbnZpcm9ubWVudGFsIFF1YWxpdHkiLCJET0kiOiIxMC4xMTA4L01FUS0xMi0yMDE3LTAxNDkiLCJpc3N1ZWQiOnsiZGF0ZS1wYXJ0cyI6W1syMDE5XV19LCJwYWdlIjoiOTgtMTE1IiwicHVibGlzaGVyIjoiRW1lcmFsZCIsImlzc3VlIjoiMSIsInZvbHVtZSI6IjMwIiwiY29udGFpbmVyLXRpdGxlLXNob3J0IjoiIn0sImlzVGVtcG9yYXJ5IjpmYWxzZX1dfQ==&quot;,&quot;citationItems&quot;:[{&quot;id&quot;:&quot;ef683711-e76e-360f-9a1f-487046e8d3a3&quot;,&quot;itemData&quot;:{&quot;type&quot;:&quot;article-journal&quot;,&quot;id&quot;:&quot;ef683711-e76e-360f-9a1f-487046e8d3a3&quot;,&quot;title&quot;:&quot;Is Sustainability Reporting (ESG) Associated with Performance? Evidence from the European Banking Sector&quot;,&quot;author&quot;:[{&quot;family&quot;:&quot;Buallay&quot;,&quot;given&quot;:&quot;Amina&quot;,&quot;parse-names&quot;:false,&quot;dropping-particle&quot;:&quot;&quot;,&quot;non-dropping-particle&quot;:&quot;&quot;}],&quot;container-title&quot;:&quot;Management of Environmental Quality&quot;,&quot;DOI&quot;:&quot;10.1108/MEQ-12-2017-0149&quot;,&quot;issued&quot;:{&quot;date-parts&quot;:[[2019]]},&quot;page&quot;:&quot;98-115&quot;,&quot;publisher&quot;:&quot;Emerald&quot;,&quot;issue&quot;:&quot;1&quot;,&quot;volume&quot;:&quot;30&quot;,&quot;container-title-short&quot;:&quot;&quot;},&quot;isTemporary&quot;:false}]},{&quot;citationID&quot;:&quot;MENDELEY_CITATION_9d2cf890-8ce3-4727-80b2-e1a2c961ac7b&quot;,&quot;properties&quot;:{&quot;noteIndex&quot;:0},&quot;isEdited&quot;:false,&quot;manualOverride&quot;:{&quot;isManuallyOverridden&quot;:true,&quot;citeprocText&quot;:&quot;(Tran &amp;#38; others, 2022)&quot;,&quot;manualOverrideText&quot;:&quot;(Tran et al, 2022&quot;},&quot;citationTag&quot;:&quot;MENDELEY_CITATION_v3_eyJjaXRhdGlvbklEIjoiTUVOREVMRVlfQ0lUQVRJT05fOWQyY2Y4OTAtOGNlMy00NzI3LTgwYjItZTFhMmM5NjFhYzdiIiwicHJvcGVydGllcyI6eyJub3RlSW5kZXgiOjB9LCJpc0VkaXRlZCI6ZmFsc2UsIm1hbnVhbE92ZXJyaWRlIjp7ImlzTWFudWFsbHlPdmVycmlkZGVuIjp0cnVlLCJjaXRlcHJvY1RleHQiOiIoVHJhbiAmIzM4OyBvdGhlcnMsIDIwMjIpIiwibWFudWFsT3ZlcnJpZGVUZXh0IjoiKFRyYW4gZXQgYWwsIDIwMjIifSwiY2l0YXRpb25JdGVtcyI6W3siaWQiOiIyMjRmNWQ3MS1hN2M0LTNjMGEtODBhMC03YmY3NTNiZGNjYzEiLCJpdGVtRGF0YSI6eyJ0eXBlIjoiYXJ0aWNsZS1qb3VybmFsIiwiaWQiOiIyMjRmNWQ3MS1hN2M0LTNjMGEtODBhMC03YmY3NTNiZGNjYzEiLCJ0aXRsZSI6IlRoZSBJbXBhY3Qgb2YgTm9uLVBlcmZvcm1pbmcgTG9hbnMgb24gQmFuayBQcm9maXRhYmlsaXR5OiBBIENvbXBhcmF0aXZlIFN0dWR5IiwiYXV0aG9yIjpbeyJmYW1pbHkiOiJUcmFuIiwiZ2l2ZW4iOiJIIFQiLCJwYXJzZS1uYW1lcyI6ZmFsc2UsImRyb3BwaW5nLXBhcnRpY2xlIjoiIiwibm9uLWRyb3BwaW5nLXBhcnRpY2xlIjoiIn0seyJmYW1pbHkiOiJvdGhlcnMiLCJnaXZlbiI6IiIsInBhcnNlLW5hbWVzIjpmYWxzZSwiZHJvcHBpbmctcGFydGljbGUiOiIiLCJub24tZHJvcHBpbmctcGFydGljbGUiOiIifV0sImNvbnRhaW5lci10aXRsZSI6IkpvdXJuYWwgb2YgUmlzayBhbmQgRmluYW5jaWFsIE1hbmFnZW1lbnQiLCJpc3N1ZWQiOnsiZGF0ZS1wYXJ0cyI6W1syMDIyXV19LCJjb250YWluZXItdGl0bGUtc2hvcnQiOiIifSwiaXNUZW1wb3JhcnkiOmZhbHNlfV19&quot;,&quot;citationItems&quot;:[{&quot;id&quot;:&quot;224f5d71-a7c4-3c0a-80a0-7bf753bdccc1&quot;,&quot;itemData&quot;:{&quot;type&quot;:&quot;article-journal&quot;,&quot;id&quot;:&quot;224f5d71-a7c4-3c0a-80a0-7bf753bdccc1&quot;,&quot;title&quot;:&quot;The Impact of Non-Performing Loans on Bank Profitability: A Comparative Study&quot;,&quot;author&quot;:[{&quot;family&quot;:&quot;Tran&quot;,&quot;given&quot;:&quot;H T&quot;,&quot;parse-names&quot;:false,&quot;dropping-particle&quot;:&quot;&quot;,&quot;non-dropping-particle&quot;:&quot;&quot;},{&quot;family&quot;:&quot;others&quot;,&quot;given&quot;:&quot;&quot;,&quot;parse-names&quot;:false,&quot;dropping-particle&quot;:&quot;&quot;,&quot;non-dropping-particle&quot;:&quot;&quot;}],&quot;container-title&quot;:&quot;Journal of Risk and Financial Management&quot;,&quot;issued&quot;:{&quot;date-parts&quot;:[[2022]]},&quot;container-title-short&quot;:&quot;&quot;},&quot;isTemporary&quot;:false}]},{&quot;citationID&quot;:&quot;MENDELEY_CITATION_b82d8b31-fdfe-4d71-9a78-c56c1449db05&quot;,&quot;properties&quot;:{&quot;noteIndex&quot;:0},&quot;isEdited&quot;:false,&quot;manualOverride&quot;:{&quot;isManuallyOverridden&quot;:true,&quot;citeprocText&quot;:&quot;(Duong &amp;#38; others, 2023)&quot;,&quot;manualOverrideText&quot;:&quot;Duong et al, 2023)&quot;},&quot;citationTag&quot;:&quot;MENDELEY_CITATION_v3_eyJjaXRhdGlvbklEIjoiTUVOREVMRVlfQ0lUQVRJT05fYjgyZDhiMzEtZmRmZS00ZDcxLTlhNzgtYzU2YzE0NDlkYjA1IiwicHJvcGVydGllcyI6eyJub3RlSW5kZXgiOjB9LCJpc0VkaXRlZCI6ZmFsc2UsIm1hbnVhbE92ZXJyaWRlIjp7ImlzTWFudWFsbHlPdmVycmlkZGVuIjp0cnVlLCJjaXRlcHJvY1RleHQiOiIoRHVvbmcgJiMzODsgb3RoZXJzLCAyMDIzKSIsIm1hbnVhbE92ZXJyaWRlVGV4dCI6IkR1b25nIGV0IGFsLCAyMDIzKSJ9LCJjaXRhdGlvbkl0ZW1zIjpbeyJpZCI6IjNmYWU0MWE5LTI4ZTAtMzRlYy1hOTI2LWI2N2RhOTExMGVhNyIsIml0ZW1EYXRhIjp7InR5cGUiOiJhcnRpY2xlLWpvdXJuYWwiLCJpZCI6IjNmYWU0MWE5LTI4ZTAtMzRlYy1hOTI2LWI2N2RhOTExMGVhNyIsInRpdGxlIjoiTm9uLVBlcmZvcm1pbmcgTG9hbnMgYW5kIEJhbmsgUHJvZml0YWJpbGl0eTogRXZpZGVuY2UgZnJvbSBFbWVyZ2luZyBNYXJrZXRzIiwiYXV0aG9yIjpbeyJmYW1pbHkiOiJEdW9uZyIsImdpdmVuIjoiVCBUIE4iLCJwYXJzZS1uYW1lcyI6ZmFsc2UsImRyb3BwaW5nLXBhcnRpY2xlIjoiIiwibm9uLWRyb3BwaW5nLXBhcnRpY2xlIjoiIn0seyJmYW1pbHkiOiJvdGhlcnMiLCJnaXZlbiI6IiIsInBhcnNlLW5hbWVzIjpmYWxzZSwiZHJvcHBpbmctcGFydGljbGUiOiIiLCJub24tZHJvcHBpbmctcGFydGljbGUiOiIifV0sImNvbnRhaW5lci10aXRsZSI6IkludGVybmF0aW9uYWwgUmV2aWV3IG9mIEZpbmFuY2lhbCBBbmFseXNpcyIsImlzc3VlZCI6eyJkYXRlLXBhcnRzIjpbWzIwMjNdXX0sImNvbnRhaW5lci10aXRsZS1zaG9ydCI6IiJ9LCJpc1RlbXBvcmFyeSI6ZmFsc2V9XX0=&quot;,&quot;citationItems&quot;:[{&quot;id&quot;:&quot;3fae41a9-28e0-34ec-a926-b67da9110ea7&quot;,&quot;itemData&quot;:{&quot;type&quot;:&quot;article-journal&quot;,&quot;id&quot;:&quot;3fae41a9-28e0-34ec-a926-b67da9110ea7&quot;,&quot;title&quot;:&quot;Non-Performing Loans and Bank Profitability: Evidence from Emerging Markets&quot;,&quot;author&quot;:[{&quot;family&quot;:&quot;Duong&quot;,&quot;given&quot;:&quot;T T N&quot;,&quot;parse-names&quot;:false,&quot;dropping-particle&quot;:&quot;&quot;,&quot;non-dropping-particle&quot;:&quot;&quot;},{&quot;family&quot;:&quot;others&quot;,&quot;given&quot;:&quot;&quot;,&quot;parse-names&quot;:false,&quot;dropping-particle&quot;:&quot;&quot;,&quot;non-dropping-particle&quot;:&quot;&quot;}],&quot;container-title&quot;:&quot;International Review of Financial Analysis&quot;,&quot;issued&quot;:{&quot;date-parts&quot;:[[2023]]},&quot;container-title-short&quot;:&quot;&quot;},&quot;isTemporary&quot;:false}]},{&quot;citationID&quot;:&quot;MENDELEY_CITATION_4e628890-c64a-4bbe-bc97-67c4d60d39f7&quot;,&quot;properties&quot;:{&quot;noteIndex&quot;:0},&quot;isEdited&quot;:false,&quot;manualOverride&quot;:{&quot;isManuallyOverridden&quot;:true,&quot;citeprocText&quot;:&quot;(Lian et al., 2022)&quot;,&quot;manualOverrideText&quot;:&quot;Lian et al., (2022)&quot;},&quot;citationTag&quot;:&quot;MENDELEY_CITATION_v3_eyJjaXRhdGlvbklEIjoiTUVOREVMRVlfQ0lUQVRJT05fNGU2Mjg4OTAtYzY0YS00YmJlLWJjOTctNjdjNGQ2MGQzOWY3IiwicHJvcGVydGllcyI6eyJub3RlSW5kZXgiOjB9LCJpc0VkaXRlZCI6ZmFsc2UsIm1hbnVhbE92ZXJyaWRlIjp7ImlzTWFudWFsbHlPdmVycmlkZGVuIjp0cnVlLCJjaXRlcHJvY1RleHQiOiIoTGlhbiBldCBhbC4sIDIwMjIpIiwibWFudWFsT3ZlcnJpZGVUZXh0IjoiTGlhbiBldCBhbC4sICgyMDIyKSJ9LCJjaXRhdGlvbkl0ZW1zIjpbeyJpZCI6IjU1YjBiNWM1LTBkMzUtM2M5Ny1iNmJiLTNkMmJhZTc1NTJiYiIsIml0ZW1EYXRhIjp7InR5cGUiOiJhcnRpY2xlLWpvdXJuYWwiLCJpZCI6IjU1YjBiNWM1LTBkMzUtM2M5Ny1iNmJiLTNkMmJhZTc1NTJiYiIsInRpdGxlIjoiVGhlIEltcGFjdCBvZiBHcmVlbiBDcmVkaXQgb24gdGhlIFByb2ZpdGFiaWxpdHkgb2YgQ29tbWVyY2lhbCBCYW5rcyBpbiBDaGluYSIsImF1dGhvciI6W3siZmFtaWx5IjoiTGlhbiIsImdpdmVuIjoiWW9uZ2h1aSIsInBhcnNlLW5hbWVzIjpmYWxzZSwiZHJvcHBpbmctcGFydGljbGUiOiIiLCJub24tZHJvcHBpbmctcGFydGljbGUiOiIifSx7ImZhbWlseSI6IkdhbyIsImdpdmVuIjoiSmlleWluZyIsInBhcnNlLW5hbWVzIjpmYWxzZSwiZHJvcHBpbmctcGFydGljbGUiOiIiLCJub24tZHJvcHBpbmctcGFydGljbGUiOiIifSx7ImZhbWlseSI6IlllIiwiZ2l2ZW4iOiJUYW8iLCJwYXJzZS1uYW1lcyI6ZmFsc2UsImRyb3BwaW5nLXBhcnRpY2xlIjoiIiwibm9uLWRyb3BwaW5nLXBhcnRpY2xlIjoiIn1dLCJjb250YWluZXItdGl0bGUiOiJTdXN0YWluYWJpbGl0eSIsImNvbnRhaW5lci10aXRsZS1zaG9ydCI6IlN1c3RhaW5hYmlsaXR5IiwiRE9JIjoiMTAuMzM5MC9zdTE0MTU5NTMxIiwiaXNzdWVkIjp7ImRhdGUtcGFydHMiOltbMjAyMl1dfSwicGFnZSI6Ijk1MzEiLCJpc3N1ZSI6IjE1Iiwidm9sdW1lIjoiMTQifSwiaXNUZW1wb3JhcnkiOmZhbHNlfV19&quot;,&quot;citationItems&quot;:[{&quot;id&quot;:&quot;55b0b5c5-0d35-3c97-b6bb-3d2bae7552bb&quot;,&quot;itemData&quot;:{&quot;type&quot;:&quot;article-journal&quot;,&quot;id&quot;:&quot;55b0b5c5-0d35-3c97-b6bb-3d2bae7552bb&quot;,&quot;title&quot;:&quot;The Impact of Green Credit on the Profitability of Commercial Banks in China&quot;,&quot;author&quot;:[{&quot;family&quot;:&quot;Lian&quot;,&quot;given&quot;:&quot;Yonghui&quot;,&quot;parse-names&quot;:false,&quot;dropping-particle&quot;:&quot;&quot;,&quot;non-dropping-particle&quot;:&quot;&quot;},{&quot;family&quot;:&quot;Gao&quot;,&quot;given&quot;:&quot;Jieying&quot;,&quot;parse-names&quot;:false,&quot;dropping-particle&quot;:&quot;&quot;,&quot;non-dropping-particle&quot;:&quot;&quot;},{&quot;family&quot;:&quot;Ye&quot;,&quot;given&quot;:&quot;Tao&quot;,&quot;parse-names&quot;:false,&quot;dropping-particle&quot;:&quot;&quot;,&quot;non-dropping-particle&quot;:&quot;&quot;}],&quot;container-title&quot;:&quot;Sustainability&quot;,&quot;container-title-short&quot;:&quot;Sustainability&quot;,&quot;DOI&quot;:&quot;10.3390/su14159531&quot;,&quot;issued&quot;:{&quot;date-parts&quot;:[[2022]]},&quot;page&quot;:&quot;9531&quot;,&quot;issue&quot;:&quot;15&quot;,&quot;volume&quot;:&quot;14&quot;},&quot;isTemporary&quot;:false}]},{&quot;citationID&quot;:&quot;MENDELEY_CITATION_977e5d98-9f8f-4a73-9b93-373248ed2547&quot;,&quot;properties&quot;:{&quot;noteIndex&quot;:0},&quot;isEdited&quot;:false,&quot;manualOverride&quot;:{&quot;isManuallyOverridden&quot;:true,&quot;citeprocText&quot;:&quot;(Mirza &amp;#38; others, 2023)&quot;,&quot;manualOverrideText&quot;:&quot;Mirza et al. (2023)&quot;},&quot;citationTag&quot;:&quot;MENDELEY_CITATION_v3_eyJjaXRhdGlvbklEIjoiTUVOREVMRVlfQ0lUQVRJT05fOTc3ZTVkOTgtOWY4Zi00YTczLTliOTMtMzczMjQ4ZWQyNTQ3IiwicHJvcGVydGllcyI6eyJub3RlSW5kZXgiOjB9LCJpc0VkaXRlZCI6ZmFsc2UsIm1hbnVhbE92ZXJyaWRlIjp7ImlzTWFudWFsbHlPdmVycmlkZGVuIjp0cnVlLCJjaXRlcHJvY1RleHQiOiIoTWlyemEgJiMzODsgb3RoZXJzLCAyMDIzKSIsIm1hbnVhbE92ZXJyaWRlVGV4dCI6Ik1pcnphIGV0IGFsLiAoMjAyMykifSwiY2l0YXRpb25JdGVtcyI6W3siaWQiOiIyYzQ5NDE4YS1jZTc1LTM0NTUtODNkYS1lZDkyMjM3ZmRmOGUiLCJpdGVtRGF0YSI6eyJ0eXBlIjoiYXJ0aWNsZS1qb3VybmFsIiwiaWQiOiIyYzQ5NDE4YS1jZTc1LTM0NTUtODNkYS1lZDkyMjM3ZmRmOGUiLCJ0aXRsZSI6IkdyZWVuIENyZWRpdCBhbmQgU01FIEZpbmFuY2luZyBpbiBCUklDIENvdW50cmllcyIsImF1dGhvciI6W3siZmFtaWx5IjoiTWlyemEiLCJnaXZlbiI6Ik5hd2F6aXNo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NdXX19LCJpc1RlbXBvcmFyeSI6ZmFsc2V9XX0=&quot;,&quot;citationItems&quot;:[{&quot;id&quot;:&quot;2c49418a-ce75-3455-83da-ed92237fdf8e&quot;,&quot;itemData&quot;:{&quot;type&quot;:&quot;article-journal&quot;,&quot;id&quot;:&quot;2c49418a-ce75-3455-83da-ed92237fdf8e&quot;,&quot;title&quot;:&quot;Green Credit and SME Financing in BRIC Countries&quot;,&quot;author&quot;:[{&quot;family&quot;:&quot;Mirza&quot;,&quot;given&quot;:&quot;Nawazish&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3]]}},&quot;isTemporary&quot;:false}]},{&quot;citationID&quot;:&quot;MENDELEY_CITATION_998ac51f-bfdd-44e0-9780-5420447a27fc&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OTk4YWM1MWYtYmZkZC00NGUwLTk3ODAtNTQyMDQ0N2EyN2Zj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099bbe28-898d-43a8-b69e-275d758d036c&quot;,&quot;properties&quot;:{&quot;noteIndex&quot;:0},&quot;isEdited&quot;:false,&quot;manualOverride&quot;:{&quot;isManuallyOverridden&quot;:true,&quot;citeprocText&quot;:&quot;(Andaiyani &amp;#38; others, 2023)&quot;,&quot;manualOverrideText&quot;:&quot;Andaiyani et al.  (2023)&quot;},&quot;citationTag&quot;:&quot;MENDELEY_CITATION_v3_eyJjaXRhdGlvbklEIjoiTUVOREVMRVlfQ0lUQVRJT05fMDk5YmJlMjgtODk4ZC00M2E4LWI2OWUtMjc1ZDc1OGQwMzZjIiwicHJvcGVydGllcyI6eyJub3RlSW5kZXgiOjB9LCJpc0VkaXRlZCI6ZmFsc2UsIm1hbnVhbE92ZXJyaWRlIjp7ImlzTWFudWFsbHlPdmVycmlkZGVuIjp0cnVlLCJjaXRlcHJvY1RleHQiOiIoQW5kYWl5YW5pICYjMzg7IG90aGVycywgMjAyMykiLCJtYW51YWxPdmVycmlkZVRleHQiOiJBbmRhaXlhbmkgZXQgYWwuICAoMjAyMykifSwiY2l0YXRpb25JdGVtcyI6W3siaWQiOiJjNGIwZWUyYS0xZDRmLTM0YmUtYmJmMy1hMmQ1ZTUxMDM3NDIiLCJpdGVtRGF0YSI6eyJ0eXBlIjoiYXJ0aWNsZS1qb3VybmFsIiwiaWQiOiJjNGIwZWUyYS0xZDRmLTM0YmUtYmJmMy1hMmQ1ZTUxMDM3NDIiLCJ0aXRsZSI6IlRoZSBJbXBhY3Qgb2YgR3JlZW4gTG9hbnMgb24gdGhlIEZpbmFuY2lhbCBQZXJmb3JtYW5jZSBvZiBDb252ZW50aW9uYWwgQmFua3MgaW4gSW5kb25lc2lhIiwiYXV0aG9yIjpbeyJmYW1pbHkiOiJBbmRhaXlhbmkiLCJnaXZlbiI6IlNyaSIsInBhcnNlLW5hbWVzIjpmYWxzZSwiZHJvcHBpbmctcGFydGljbGUiOiIiLCJub24tZHJvcHBpbmctcGFydGljbGUiOiIifSx7ImZhbWlseSI6Im90aGVycyIsImdpdmVuIjoiIiwicGFyc2UtbmFtZXMiOmZhbHNlLCJkcm9wcGluZy1wYXJ0aWNsZSI6IiIsIm5vbi1kcm9wcGluZy1wYXJ0aWNsZSI6IiJ9XSwiY29udGFpbmVyLXRpdGxlIjoiSW5kb25lc2lhbiBKb3VybmFsIG9mIFN1c3RhaW5hYmxlIEZpbmFuY2UiLCJpc3N1ZWQiOnsiZGF0ZS1wYXJ0cyI6W1syMDIzXV19LCJjb250YWluZXItdGl0bGUtc2hvcnQiOiIifSwiaXNUZW1wb3JhcnkiOmZhbHNlfV19&quot;,&quot;citationItems&quot;:[{&quot;id&quot;:&quot;c4b0ee2a-1d4f-34be-bbf3-a2d5e5103742&quot;,&quot;itemData&quot;:{&quot;type&quot;:&quot;article-journal&quot;,&quot;id&quot;:&quot;c4b0ee2a-1d4f-34be-bbf3-a2d5e5103742&quot;,&quot;title&quot;:&quot;The Impact of Green Loans on the Financial Performance of Conventional Banks in Indonesia&quot;,&quot;author&quot;:[{&quot;family&quot;:&quot;Andaiyani&quot;,&quot;given&quot;:&quot;Sri&quot;,&quot;parse-names&quot;:false,&quot;dropping-particle&quot;:&quot;&quot;,&quot;non-dropping-particle&quot;:&quot;&quot;},{&quot;family&quot;:&quot;others&quot;,&quot;given&quot;:&quot;&quot;,&quot;parse-names&quot;:false,&quot;dropping-particle&quot;:&quot;&quot;,&quot;non-dropping-particle&quot;:&quot;&quot;}],&quot;container-title&quot;:&quot;Indonesian Journal of Sustainable Finance&quot;,&quot;issued&quot;:{&quot;date-parts&quot;:[[2023]]},&quot;container-title-short&quot;:&quot;&quot;},&quot;isTemporary&quot;:false}]},{&quot;citationID&quot;:&quot;MENDELEY_CITATION_db8fc1f4-3bae-4a4d-a249-92dfd9728ee4&quot;,&quot;properties&quot;:{&quot;noteIndex&quot;:0},&quot;isEdited&quot;:false,&quot;manualOverride&quot;:{&quot;isManuallyOverridden&quot;:true,&quot;citeprocText&quot;:&quot;(R. S. Riyanti, 2025)&quot;,&quot;manualOverrideText&quot;:&quot;Riyanti et al. (2025)&quot;},&quot;citationTag&quot;:&quot;MENDELEY_CITATION_v3_eyJjaXRhdGlvbklEIjoiTUVOREVMRVlfQ0lUQVRJT05fZGI4ZmMxZjQtM2JhZS00YTRkLWEyNDktOTJkZmQ5NzI4ZWU0IiwicHJvcGVydGllcyI6eyJub3RlSW5kZXgiOjB9LCJpc0VkaXRlZCI6ZmFsc2UsIm1hbnVhbE92ZXJyaWRlIjp7ImlzTWFudWFsbHlPdmVycmlkZGVuIjp0cnVlLCJjaXRlcHJvY1RleHQiOiIoUi4gUy4gUml5YW50aSwgMjAyNSkiLCJtYW51YWxPdmVycmlkZVRleHQiOiJSaXlhbnRpIGV0IGFsLiAoMjAyNSkifSwiY2l0YXRpb25JdGVtcyI6W3siaWQiOiJhZjk1NzVjZC0yNTMwLTNiMzItOTUxNy05NGYzZGE1NzhkOTgiLCJpdGVtRGF0YSI6eyJ0eXBlIjoiYXJ0aWNsZS1qb3VybmFsIiwiaWQiOiJhZjk1NzVjZC0yNTMwLTNiMzItOTUxNy05NGYzZGE1NzhkOTgiLCJ0aXRsZSI6IkdyZWVuIGxvYW5zOiBOYXZpZ2F0aW5nIHRoZSBwYXRoIHRvIHN1c3RhaW5hYmxlIHByb2ZpdGFiaWxpdHkgaW4gYmFua2luZyIsImF1dGhvciI6W3siZmFtaWx5IjoiUml5YW50aSIsImdpdmVuIjoiUiBTIiwicGFyc2UtbmFtZXMiOmZhbHNlLCJkcm9wcGluZy1wYXJ0aWNsZSI6IiIsIm5vbi1kcm9wcGluZy1wYXJ0aWNsZSI6IiJ9XSwiY29udGFpbmVyLXRpdGxlIjoiRWNvbm9taWMgQW5hbHlzaXMgYW5kIFBvbGljeSIsImNvbnRhaW5lci10aXRsZS1zaG9ydCI6IkVjb24uIEFuYWwuIFBvbGljeSIsIkRPSSI6IjEwLjEwMTYvai5lYXAuMjAyNS4wMS4wMjgiLCJJU1NOIjoiMjIwNC0yMjk2IiwiVVJMIjoiaHR0cHM6Ly9hcGkuZWxzZXZpZXIuY29tL2NvbnRlbnQvYXJ0aWNsZS9laWQvMS1zMi4wLVMwMzEzNTkyNjI1MDAwMjgxIiwiaXNzdWVkIjp7ImRhdGUtcGFydHMiOltbMjAyNV1dfSwicGFnZSI6IjE2MTMtMTYyNCIsInZvbHVtZSI6Ijg1In0sImlzVGVtcG9yYXJ5IjpmYWxzZX1dfQ==&quot;,&quot;citationItems&quot;:[{&quot;id&quot;:&quot;af9575cd-2530-3b32-9517-94f3da578d98&quot;,&quot;itemData&quot;:{&quot;type&quot;:&quot;article-journal&quot;,&quot;id&quot;:&quot;af9575cd-2530-3b32-9517-94f3da578d98&quot;,&quot;title&quot;:&quot;Green loans: Navigating the path to sustainable profitability in banking&quot;,&quot;author&quot;:[{&quot;family&quot;:&quot;Riyanti&quot;,&quot;given&quot;:&quot;R S&quot;,&quot;parse-names&quot;:false,&quot;dropping-particle&quot;:&quot;&quot;,&quot;non-dropping-particle&quot;:&quot;&quot;}],&quot;container-title&quot;:&quot;Economic Analysis and Policy&quot;,&quot;container-title-short&quot;:&quot;Econ. Anal. Policy&quot;,&quot;DOI&quot;:&quot;10.1016/j.eap.2025.01.028&quot;,&quot;ISSN&quot;:&quot;2204-2296&quot;,&quot;URL&quot;:&quot;https://api.elsevier.com/content/article/eid/1-s2.0-S0313592625000281&quot;,&quot;issued&quot;:{&quot;date-parts&quot;:[[2025]]},&quot;page&quot;:&quot;1613-1624&quot;,&quot;volume&quot;:&quot;85&quot;},&quot;isTemporary&quot;:false}]},{&quot;citationID&quot;:&quot;MENDELEY_CITATION_f4403c68-c264-4291-acdc-2c56c9b8472e&quot;,&quot;properties&quot;:{&quot;noteIndex&quot;:0},&quot;isEdited&quot;:false,&quot;manualOverride&quot;:{&quot;isManuallyOverridden&quot;:true,&quot;citeprocText&quot;:&quot;(Galán &amp;#38; Tan, 2024)&quot;,&quot;manualOverrideText&quot;:&quot;Galán &amp; Tan (2024)&quot;},&quot;citationTag&quot;:&quot;MENDELEY_CITATION_v3_eyJjaXRhdGlvbklEIjoiTUVOREVMRVlfQ0lUQVRJT05fZjQ0MDNjNjgtYzI2NC00MjkxLWFjZGMtMmM1NmM5Yjg0NzJlIiwicHJvcGVydGllcyI6eyJub3RlSW5kZXgiOjB9LCJpc0VkaXRlZCI6ZmFsc2UsIm1hbnVhbE92ZXJyaWRlIjp7ImlzTWFudWFsbHlPdmVycmlkZGVuIjp0cnVlLCJjaXRlcHJvY1RleHQiOiIoR2Fsw6FuICYjMzg7IFRhbiwgMjAyNCkiLCJtYW51YWxPdmVycmlkZVRleHQiOiJHYWzDoW4gJiBUYW4gKDIwMjQpIn0sImNpdGF0aW9uSXRlbXMiOlt7ImlkIjoiZDYyM2VlMWEtNDBhMi0zOGRhLTk0M2EtMjdjM2UyMGIyYjliIiwiaXRlbURhdGEiOnsidHlwZSI6ImFydGljbGUtam91cm5hbCIsImlkIjoiZDYyM2VlMWEtNDBhMi0zOGRhLTk0M2EtMjdjM2UyMGIyYjliIiwidGl0bGUiOiJHcmVlbiBDcmVkaXQgYW5kIEJhbmsgRWZmaWNpZW5jeTogRXZpZGVuY2UgZnJvbSBDaGluYSIsImF1dGhvciI6W3siZmFtaWx5IjoiR2Fsw6FuIiwiZ2l2ZW4iOiJKb3JnZSBFIiwicGFyc2UtbmFtZXMiOmZhbHNlLCJkcm9wcGluZy1wYXJ0aWNsZSI6IiIsIm5vbi1kcm9wcGluZy1wYXJ0aWNsZSI6IiJ9LHsiZmFtaWx5IjoiVGFuIiwiZ2l2ZW4iOiJZb25nIiwicGFyc2UtbmFtZXMiOmZhbHNlLCJkcm9wcGluZy1wYXJ0aWNsZSI6IiIsIm5vbi1kcm9wcGluZy1wYXJ0aWNsZSI6IiJ9XSwiY29udGFpbmVyLXRpdGxlIjoiRW5lcmd5IEVjb25vbWljcyIsImNvbnRhaW5lci10aXRsZS1zaG9ydCI6IkVuZXJneSBFY29uLiIsImlzc3VlZCI6eyJkYXRlLXBhcnRzIjpbWzIwMjRdXX19LCJpc1RlbXBvcmFyeSI6ZmFsc2V9XX0=&quot;,&quot;citationItems&quot;:[{&quot;id&quot;:&quot;d623ee1a-40a2-38da-943a-27c3e20b2b9b&quot;,&quot;itemData&quot;:{&quot;type&quot;:&quot;article-journal&quot;,&quot;id&quot;:&quot;d623ee1a-40a2-38da-943a-27c3e20b2b9b&quot;,&quot;title&quot;:&quot;Green Credit and Bank Efficiency: Evidence from China&quot;,&quot;author&quot;:[{&quot;family&quot;:&quot;Galán&quot;,&quot;given&quot;:&quot;Jorge E&quot;,&quot;parse-names&quot;:false,&quot;dropping-particle&quot;:&quot;&quot;,&quot;non-dropping-particle&quot;:&quot;&quot;},{&quot;family&quot;:&quot;Tan&quot;,&quot;given&quot;:&quot;Yong&quot;,&quot;parse-names&quot;:false,&quot;dropping-particle&quot;:&quot;&quot;,&quot;non-dropping-particle&quot;:&quot;&quot;}],&quot;container-title&quot;:&quot;Energy Economics&quot;,&quot;container-title-short&quot;:&quot;Energy Econ.&quot;,&quot;issued&quot;:{&quot;date-parts&quot;:[[2024]]}},&quot;isTemporary&quot;:false}]},{&quot;citationID&quot;:&quot;MENDELEY_CITATION_b3695f50-77d0-4bf1-baad-0321b3a376f0&quot;,&quot;properties&quot;:{&quot;noteIndex&quot;:0},&quot;isEdited&quot;:false,&quot;manualOverride&quot;:{&quot;isManuallyOverridden&quot;:true,&quot;citeprocText&quot;:&quot;(Zhou &amp;#38; others, 2024)&quot;,&quot;manualOverrideText&quot;:&quot;Zhou et al (2024)&quot;},&quot;citationTag&quot;:&quot;MENDELEY_CITATION_v3_eyJjaXRhdGlvbklEIjoiTUVOREVMRVlfQ0lUQVRJT05fYjM2OTVmNTAtNzdkMC00YmYxLWJhYWQtMDMyMWIzYTM3NmYwIiwicHJvcGVydGllcyI6eyJub3RlSW5kZXgiOjB9LCJpc0VkaXRlZCI6ZmFsc2UsIm1hbnVhbE92ZXJyaWRlIjp7ImlzTWFudWFsbHlPdmVycmlkZGVuIjp0cnVlLCJjaXRlcHJvY1RleHQiOiIoWmhvdSAmIzM4OyBvdGhlcnMsIDIwMjQpIiwibWFudWFsT3ZlcnJpZGVUZXh0IjoiWmhvdSBldCBhbCAoMjAyNCkifSwiY2l0YXRpb25JdGVtcyI6W3siaWQiOiJmMjQzY2FjYy00NmY5LTNmMjAtOTZmMi1lMGYzOGRlZWQ0N2UiLCJpdGVtRGF0YSI6eyJ0eXBlIjoiYXJ0aWNsZS1qb3VybmFsIiwiaWQiOiJmMjQzY2FjYy00NmY5LTNmMjAtOTZmMi1lMGYzOGRlZWQ0N2UiLCJ0aXRsZSI6IkdyZWVuIENyZWRpdCBQb2xpY3kgYW5kIHRoZSBDb3N0IEVmZmljaWVuY3kgb2YgQ2hpbmVzZSBDb21tZXJjaWFsIEJhbmtzIiwiYXV0aG9yIjpbeyJmYW1pbHkiOiJaaG91IiwiZ2l2ZW4iOiJYIiwicGFyc2UtbmFtZXMiOmZhbHNlLCJkcm9wcGluZy1wYXJ0aWNsZSI6IiIsIm5vbi1kcm9wcGluZy1wYXJ0aWNsZSI6IiJ9LHsiZmFtaWx5Ijoib3RoZXJzIiwiZ2l2ZW4iOiIiLCJwYXJzZS1uYW1lcyI6ZmFsc2UsImRyb3BwaW5nLXBhcnRpY2xlIjoiIiwibm9uLWRyb3BwaW5nLXBhcnRpY2xlIjoiIn1dLCJjb250YWluZXItdGl0bGUiOiJDaGluYSBFY29ub21pYyBSZXZpZXciLCJpc3N1ZWQiOnsiZGF0ZS1wYXJ0cyI6W1syMDI0XV19LCJjb250YWluZXItdGl0bGUtc2hvcnQiOiIifSwiaXNUZW1wb3JhcnkiOmZhbHNlfV19&quot;,&quot;citationItems&quot;:[{&quot;id&quot;:&quot;f243cacc-46f9-3f20-96f2-e0f38deed47e&quot;,&quot;itemData&quot;:{&quot;type&quot;:&quot;article-journal&quot;,&quot;id&quot;:&quot;f243cacc-46f9-3f20-96f2-e0f38deed47e&quot;,&quot;title&quot;:&quot;Green Credit Policy and the Cost Efficiency of Chinese Commercial Banks&quot;,&quot;author&quot;:[{&quot;family&quot;:&quot;Zhou&quot;,&quot;given&quot;:&quot;X&quot;,&quot;parse-names&quot;:false,&quot;dropping-particle&quot;:&quot;&quot;,&quot;non-dropping-particle&quot;:&quot;&quot;},{&quot;family&quot;:&quot;others&quot;,&quot;given&quot;:&quot;&quot;,&quot;parse-names&quot;:false,&quot;dropping-particle&quot;:&quot;&quot;,&quot;non-dropping-particle&quot;:&quot;&quot;}],&quot;container-title&quot;:&quot;China Economic Review&quot;,&quot;issued&quot;:{&quot;date-parts&quot;:[[2024]]},&quot;container-title-short&quot;:&quot;&quot;},&quot;isTemporary&quot;:false}]},{&quot;citationID&quot;:&quot;MENDELEY_CITATION_46241e01-54c3-411e-bcfc-281dc74d9459&quot;,&quot;properties&quot;:{&quot;noteIndex&quot;:0},&quot;isEdited&quot;:false,&quot;manualOverride&quot;:{&quot;isManuallyOverridden&quot;:true,&quot;citeprocText&quot;:&quot;(Siauwijaya &amp;#38; others, 2024)&quot;,&quot;manualOverrideText&quot;:&quot;Siauwijaya et al. (2024)&quot;},&quot;citationTag&quot;:&quot;MENDELEY_CITATION_v3_eyJjaXRhdGlvbklEIjoiTUVOREVMRVlfQ0lUQVRJT05fNDYyNDFlMDEtNTRjMy00MTFlLWJjZmMtMjgxZGM3NGQ5NDU5IiwicHJvcGVydGllcyI6eyJub3RlSW5kZXgiOjB9LCJpc0VkaXRlZCI6ZmFsc2UsIm1hbnVhbE92ZXJyaWRlIjp7ImlzTWFudWFsbHlPdmVycmlkZGVuIjp0cnVlLCJjaXRlcHJvY1RleHQiOiIoU2lhdXdpamF5YSAmIzM4OyBvdGhlcnMsIDIwMjQpIiwibWFudWFsT3ZlcnJpZGVUZXh0IjoiU2lhdXdpamF5YSBldCBhbC4gKDIwMjQpIn0sImNpdGF0aW9uSXRlbXMiOlt7ImlkIjoiNTgwZTFiMDMtNTlmYy0zNTMxLTllOGYtZDRlYWU3ZThlZWNkIiwiaXRlbURhdGEiOnsidHlwZSI6ImFydGljbGUtam91cm5hbCIsImlkIjoiNTgwZTFiMDMtNTlmYy0zNTMxLTllOGYtZDRlYWU3ZThlZWNkIiwidGl0bGUiOiJDcm9zcy1Db3VudHJ5IEV2aWRlbmNlIG9uIEdyZWVuIENyZWRpdCBhbmQgQmFuayBQZXJmb3JtYW5jZSIsImF1dGhvciI6W3siZmFtaWx5IjoiU2lhdXdpamF5YSIsImdpdmVuIjoiQSIsInBhcnNlLW5hbWVzIjpmYWxzZSwiZHJvcHBpbmctcGFydGljbGUiOiIiLCJub24tZHJvcHBpbmctcGFydGljbGUiOiIifSx7ImZhbWlseSI6Im90aGVycyIsImdpdmVuIjoiIiwicGFyc2UtbmFtZXMiOmZhbHNlLCJkcm9wcGluZy1wYXJ0aWNsZSI6IiIsIm5vbi1kcm9wcGluZy1wYXJ0aWNsZSI6IiJ9XSwiY29udGFpbmVyLXRpdGxlIjoiRmluYW5jZSBSZXNlYXJjaCBMZXR0ZXJzIiwiY29udGFpbmVyLXRpdGxlLXNob3J0IjoiRmluYW5jLiBSZXMuIExldHQuIiwiaXNzdWVkIjp7ImRhdGUtcGFydHMiOltbMjAyNF1dfX0sImlzVGVtcG9yYXJ5IjpmYWxzZX1dfQ==&quot;,&quot;citationItems&quot;:[{&quot;id&quot;:&quot;580e1b03-59fc-3531-9e8f-d4eae7e8eecd&quot;,&quot;itemData&quot;:{&quot;type&quot;:&quot;article-journal&quot;,&quot;id&quot;:&quot;580e1b03-59fc-3531-9e8f-d4eae7e8eecd&quot;,&quot;title&quot;:&quot;Cross-Country Evidence on Green Credit and Bank Performance&quot;,&quot;author&quot;:[{&quot;family&quot;:&quot;Siauwijaya&quot;,&quot;given&quot;:&quot;A&quot;,&quot;parse-names&quot;:false,&quot;dropping-particle&quot;:&quot;&quot;,&quot;non-dropping-particle&quot;:&quot;&quot;},{&quot;family&quot;:&quot;others&quot;,&quot;given&quot;:&quot;&quot;,&quot;parse-names&quot;:false,&quot;dropping-particle&quot;:&quot;&quot;,&quot;non-dropping-particle&quot;:&quot;&quot;}],&quot;container-title&quot;:&quot;Finance Research Letters&quot;,&quot;container-title-short&quot;:&quot;Financ. Res. Lett.&quot;,&quot;issued&quot;:{&quot;date-parts&quot;:[[2024]]}},&quot;isTemporary&quot;:false}]},{&quot;citationID&quot;:&quot;MENDELEY_CITATION_2ccd58db-31e7-43cb-9e80-87b82a22d90c&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MmNjZDU4ZGItMzFlNy00M2NiLTllODAtODdiODJhMjJkOTBj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c74e4820-3c48-4863-a921-5b59cbaefa48&quot;,&quot;properties&quot;:{&quot;noteIndex&quot;:0},&quot;isEdited&quot;:false,&quot;manualOverride&quot;:{&quot;isManuallyOverridden&quot;:true,&quot;citeprocText&quot;:&quot;(R. Riyanti &amp;#38; others, 2025)&quot;,&quot;manualOverrideText&quot;:&quot;Riyanti et al. (2025)&quot;},&quot;citationTag&quot;:&quot;MENDELEY_CITATION_v3_eyJjaXRhdGlvbklEIjoiTUVOREVMRVlfQ0lUQVRJT05fYzc0ZTQ4MjAtM2M0OC00ODYzLWE5MjEtNWI1OWNiYWVmYTQ4IiwicHJvcGVydGllcyI6eyJub3RlSW5kZXgiOjB9LCJpc0VkaXRlZCI6ZmFsc2UsIm1hbnVhbE92ZXJyaWRlIjp7ImlzTWFudWFsbHlPdmVycmlkZGVuIjp0cnVlLCJjaXRlcHJvY1RleHQiOiIoUi4gUml5YW50aSAmIzM4OyBvdGhlcnMsIDIwMjUpIiwibWFudWFsT3ZlcnJpZGVUZXh0IjoiUml5YW50aSBldCBhbC4gKDIwMjUpIn0sImNpdGF0aW9uSXRlbXMiOlt7ImlkIjoiYmNmYWQwNGQtODMwMi0zZjM0LThmMDAtZThjOWE1YzVjZDJiIiwiaXRlbURhdGEiOnsidHlwZSI6ImFydGljbGUtam91cm5hbCIsImlkIjoiYmNmYWQwNGQtODMwMi0zZjM0LThmMDAtZThjOWE1YzVjZDJiIiwidGl0bGUiOiJUaGUgRWZmZWN0IG9mIEdyZWVuIExvYW5zIG9uIHRoZSBGaW5hbmNpYWwgUGVyZm9ybWFuY2Ugb2YgQ29udmVudGlvbmFsIEJhbmtzIGluIEluZG9uZXNpYSIsImF1dGhvciI6W3siZmFtaWx5IjoiUml5YW50aSIsImdpdmVuIjoiUiIsInBhcnNlLW5hbWVzIjpmYWxzZSwiZHJvcHBpbmctcGFydGljbGUiOiIiLCJub24tZHJvcHBpbmctcGFydGljbGUiOiIifSx7ImZhbWlseSI6Im90aGVycyIsImdpdmVuIjoiIiwicGFyc2UtbmFtZXMiOmZhbHNlLCJkcm9wcGluZy1wYXJ0aWNsZSI6IiIsIm5vbi1kcm9wcGluZy1wYXJ0aWNsZSI6IiJ9XSwiY29udGFpbmVyLXRpdGxlIjoiSnVybmFsIEFrdW50YW5zaSBkYW4gS2V1YW5nYW4gSW5kb25lc2lhIiwiaXNzdWVkIjp7ImRhdGUtcGFydHMiOltbMjAyNV1dfSwiY29udGFpbmVyLXRpdGxlLXNob3J0IjoiIn0sImlzVGVtcG9yYXJ5IjpmYWxzZX1dfQ==&quot;,&quot;citationItems&quot;:[{&quot;id&quot;:&quot;bcfad04d-8302-3f34-8f00-e8c9a5c5cd2b&quot;,&quot;itemData&quot;:{&quot;type&quot;:&quot;article-journal&quot;,&quot;id&quot;:&quot;bcfad04d-8302-3f34-8f00-e8c9a5c5cd2b&quot;,&quot;title&quot;:&quot;The Effect of Green Loans on the Financial Performance of Conventional Banks in Indonesia&quot;,&quot;author&quot;:[{&quot;family&quot;:&quot;Riyanti&quot;,&quot;given&quot;:&quot;R&quot;,&quot;parse-names&quot;:false,&quot;dropping-particle&quot;:&quot;&quot;,&quot;non-dropping-particle&quot;:&quot;&quot;},{&quot;family&quot;:&quot;others&quot;,&quot;given&quot;:&quot;&quot;,&quot;parse-names&quot;:false,&quot;dropping-particle&quot;:&quot;&quot;,&quot;non-dropping-particle&quot;:&quot;&quot;}],&quot;container-title&quot;:&quot;Jurnal Akuntansi dan Keuangan Indonesia&quot;,&quot;issued&quot;:{&quot;date-parts&quot;:[[2025]]},&quot;container-title-short&quot;:&quot;&quot;},&quot;isTemporary&quot;:false}]},{&quot;citationID&quot;:&quot;MENDELEY_CITATION_dc81c031-e33d-4314-9e5b-ce4232a2ecf5&quot;,&quot;properties&quot;:{&quot;noteIndex&quot;:0},&quot;isEdited&quot;:false,&quot;manualOverride&quot;:{&quot;isManuallyOverridden&quot;:true,&quot;citeprocText&quot;:&quot;(Sutrisno, 2024)&quot;,&quot;manualOverrideText&quot;:&quot;Sutrisno et al, (2024)&quot;},&quot;citationTag&quot;:&quot;MENDELEY_CITATION_v3_eyJjaXRhdGlvbklEIjoiTUVOREVMRVlfQ0lUQVRJT05fZGM4MWMwMzEtZTMzZC00MzE0LTllNWItY2U0MjMyYTJlY2Y1IiwicHJvcGVydGllcyI6eyJub3RlSW5kZXgiOjB9LCJpc0VkaXRlZCI6ZmFsc2UsIm1hbnVhbE92ZXJyaWRlIjp7ImlzTWFudWFsbHlPdmVycmlkZGVuIjp0cnVlLCJjaXRlcHJvY1RleHQiOiIoU3V0cmlzbm8sIDIwMjQpIiwibWFudWFsT3ZlcnJpZGVUZXh0IjoiU3V0cmlzbm8gZXQgYWwsICgyMDI0KSJ9LCJjaXRhdGlvbkl0ZW1zIjpbeyJpZCI6IjgyNDVkZTFmLWRkZTktMzA5NS1hMjEzLWNkMmY5MGFjYWQwOCIsIml0ZW1EYXRhIjp7InR5cGUiOiJhcnRpY2xlLWpvdXJuYWwiLCJpZCI6IjgyNDVkZTFmLWRkZTktMzA5NS1hMjEzLWNkMmY5MGFjYWQwOCIsInRpdGxlIjoiVGhlIFJvbGUgb2YgR3JlZW4gQ3JlZGl0IGluIEJhbmsgUHJvZml0YWJpbGl0eSBhbmQgU3RhYmlsaXR5OiBBIENhc2UgU3R1ZHkgb24gR3JlZW4gQmFua2luZyBpbiBJbmRvbmVzaWEiLCJhdXRob3IiOlt7ImZhbWlseSI6IlN1dHJpc25vIiwiZ2l2ZW4iOiJTIiwicGFyc2UtbmFtZXMiOmZhbHNlLCJkcm9wcGluZy1wYXJ0aWNsZSI6IiIsIm5vbi1kcm9wcGluZy1wYXJ0aWNsZSI6IiJ9XSwiY29udGFpbmVyLXRpdGxlIjoiUmlza3MiLCJET0kiOiIxMC4zMzkwL3Jpc2tzMTIxMjAxOTgiLCJJU1NOIjoiMjIyNy05MDkxIiwiVVJMIjoiaHR0cHM6Ly93d3cuc2NvcHVzLmNvbS9pbndhcmQvcmVjb3JkLnVyaT9wYXJ0bmVySUQ9SHpPeE1lM2Imc2NwPTg1MjEzMzU5MDk0Jm9yaWdpbj1pbndhcmQiLCJpc3N1ZWQiOnsiZGF0ZS1wYXJ0cyI6W1syMDI0XV19LCJpc3N1ZSI6IjEyIiwidm9sdW1lIjoiMTIiLCJjb250YWluZXItdGl0bGUtc2hvcnQiOiIifSwiaXNUZW1wb3JhcnkiOmZhbHNlfV19&quot;,&quot;citationItems&quot;:[{&quot;id&quot;:&quot;8245de1f-dde9-3095-a213-cd2f90acad08&quot;,&quot;itemData&quot;:{&quot;type&quot;:&quot;article-journal&quot;,&quot;id&quot;:&quot;8245de1f-dde9-3095-a213-cd2f90acad08&quot;,&quot;title&quot;:&quot;The Role of Green Credit in Bank Profitability and Stability: A Case Study on Green Banking in Indonesia&quot;,&quot;author&quot;:[{&quot;family&quot;:&quot;Sutrisno&quot;,&quot;given&quot;:&quot;S&quot;,&quot;parse-names&quot;:false,&quot;dropping-particle&quot;:&quot;&quot;,&quot;non-dropping-particle&quot;:&quot;&quot;}],&quot;container-title&quot;:&quot;Risks&quot;,&quot;DOI&quot;:&quot;10.3390/risks12120198&quot;,&quot;ISSN&quot;:&quot;2227-9091&quot;,&quot;URL&quot;:&quot;https://www.scopus.com/inward/record.uri?partnerID=HzOxMe3b&amp;scp=85213359094&amp;origin=inward&quot;,&quot;issued&quot;:{&quot;date-parts&quot;:[[2024]]},&quot;issue&quot;:&quot;12&quot;,&quot;volume&quot;:&quot;12&quot;,&quot;container-title-short&quot;:&quot;&quot;},&quot;isTemporary&quot;:false}]},{&quot;citationID&quot;:&quot;MENDELEY_CITATION_0f0b1f5c-67aa-4056-b243-9f8694f65a95&quot;,&quot;properties&quot;:{&quot;noteIndex&quot;:0},&quot;isEdited&quot;:false,&quot;manualOverride&quot;:{&quot;isManuallyOverridden&quot;:true,&quot;citeprocText&quot;:&quot;(Tran &amp;#38; others, 2022)&quot;,&quot;manualOverrideText&quot;:&quot;Tran et al (2022)&quot;},&quot;citationTag&quot;:&quot;MENDELEY_CITATION_v3_eyJjaXRhdGlvbklEIjoiTUVOREVMRVlfQ0lUQVRJT05fMGYwYjFmNWMtNjdhYS00MDU2LWIyNDMtOWY4Njk0ZjY1YTk1IiwicHJvcGVydGllcyI6eyJub3RlSW5kZXgiOjB9LCJpc0VkaXRlZCI6ZmFsc2UsIm1hbnVhbE92ZXJyaWRlIjp7ImlzTWFudWFsbHlPdmVycmlkZGVuIjp0cnVlLCJjaXRlcHJvY1RleHQiOiIoVHJhbiAmIzM4OyBvdGhlcnMsIDIwMjIpIiwibWFudWFsT3ZlcnJpZGVUZXh0IjoiVHJhbiBldCBhbCAoMjAyMikifSwiY2l0YXRpb25JdGVtcyI6W3siaWQiOiIyMjRmNWQ3MS1hN2M0LTNjMGEtODBhMC03YmY3NTNiZGNjYzEiLCJpdGVtRGF0YSI6eyJ0eXBlIjoiYXJ0aWNsZS1qb3VybmFsIiwiaWQiOiIyMjRmNWQ3MS1hN2M0LTNjMGEtODBhMC03YmY3NTNiZGNjYzEiLCJ0aXRsZSI6IlRoZSBJbXBhY3Qgb2YgTm9uLVBlcmZvcm1pbmcgTG9hbnMgb24gQmFuayBQcm9maXRhYmlsaXR5OiBBIENvbXBhcmF0aXZlIFN0dWR5IiwiYXV0aG9yIjpbeyJmYW1pbHkiOiJUcmFuIiwiZ2l2ZW4iOiJIIFQiLCJwYXJzZS1uYW1lcyI6ZmFsc2UsImRyb3BwaW5nLXBhcnRpY2xlIjoiIiwibm9uLWRyb3BwaW5nLXBhcnRpY2xlIjoiIn0seyJmYW1pbHkiOiJvdGhlcnMiLCJnaXZlbiI6IiIsInBhcnNlLW5hbWVzIjpmYWxzZSwiZHJvcHBpbmctcGFydGljbGUiOiIiLCJub24tZHJvcHBpbmctcGFydGljbGUiOiIifV0sImNvbnRhaW5lci10aXRsZSI6IkpvdXJuYWwgb2YgUmlzayBhbmQgRmluYW5jaWFsIE1hbmFnZW1lbnQiLCJpc3N1ZWQiOnsiZGF0ZS1wYXJ0cyI6W1syMDIyXV19LCJjb250YWluZXItdGl0bGUtc2hvcnQiOiIifSwiaXNUZW1wb3JhcnkiOmZhbHNlfV19&quot;,&quot;citationItems&quot;:[{&quot;id&quot;:&quot;224f5d71-a7c4-3c0a-80a0-7bf753bdccc1&quot;,&quot;itemData&quot;:{&quot;type&quot;:&quot;article-journal&quot;,&quot;id&quot;:&quot;224f5d71-a7c4-3c0a-80a0-7bf753bdccc1&quot;,&quot;title&quot;:&quot;The Impact of Non-Performing Loans on Bank Profitability: A Comparative Study&quot;,&quot;author&quot;:[{&quot;family&quot;:&quot;Tran&quot;,&quot;given&quot;:&quot;H T&quot;,&quot;parse-names&quot;:false,&quot;dropping-particle&quot;:&quot;&quot;,&quot;non-dropping-particle&quot;:&quot;&quot;},{&quot;family&quot;:&quot;others&quot;,&quot;given&quot;:&quot;&quot;,&quot;parse-names&quot;:false,&quot;dropping-particle&quot;:&quot;&quot;,&quot;non-dropping-particle&quot;:&quot;&quot;}],&quot;container-title&quot;:&quot;Journal of Risk and Financial Management&quot;,&quot;issued&quot;:{&quot;date-parts&quot;:[[2022]]},&quot;container-title-short&quot;:&quot;&quot;},&quot;isTemporary&quot;:false}]},{&quot;citationID&quot;:&quot;MENDELEY_CITATION_2e85edee-3fdc-4b18-a377-f2ac3bee8939&quot;,&quot;properties&quot;:{&quot;noteIndex&quot;:0},&quot;isEdited&quot;:false,&quot;manualOverride&quot;:{&quot;isManuallyOverridden&quot;:true,&quot;citeprocText&quot;:&quot;(Kumari &amp;#38; others, 2024)&quot;,&quot;manualOverrideText&quot;:&quot;Kumari et al (2024)&quot;},&quot;citationTag&quot;:&quot;MENDELEY_CITATION_v3_eyJjaXRhdGlvbklEIjoiTUVOREVMRVlfQ0lUQVRJT05fMmU4NWVkZWUtM2ZkYy00YjE4LWEzNzctZjJhYzNiZWU4OTM5IiwicHJvcGVydGllcyI6eyJub3RlSW5kZXgiOjB9LCJpc0VkaXRlZCI6ZmFsc2UsIm1hbnVhbE92ZXJyaWRlIjp7ImlzTWFudWFsbHlPdmVycmlkZGVuIjp0cnVlLCJjaXRlcHJvY1RleHQiOiIoS3VtYXJpICYjMzg7IG90aGVycywgMjAyNCkiLCJtYW51YWxPdmVycmlkZVRleHQiOiJLdW1hcmkgZXQgYWwgKDIwMjQpIn0sImNpdGF0aW9uSXRlbXMiOlt7ImlkIjoiMDYzMDEyOWEtNmZmYy0zZDI0LWE1ZjMtNGIzMTBjZDAzNzBmIiwiaXRlbURhdGEiOnsidHlwZSI6ImFydGljbGUtam91cm5hbCIsImlkIjoiMDYzMDEyOWEtNmZmYy0zZDI0LWE1ZjMtNGIzMTBjZDAzNzBmIiwidGl0bGUiOiJEZXRlcm1pbmFudHMgb2YgQmFuayBQcm9maXRhYmlsaXR5IGluIEluZGlhOiBUaGUgUm9sZSBvZiBDcmVkaXQgUmlzayBhbmQgQmFuayBTaXplIiwiYXV0aG9yIjpbeyJmYW1pbHkiOiJLdW1hcmkiLCJnaXZlbiI6IlMiLCJwYXJzZS1uYW1lcyI6ZmFsc2UsImRyb3BwaW5nLXBhcnRpY2xlIjoiIiwibm9uLWRyb3BwaW5nLXBhcnRpY2xlIjoiIn0seyJmYW1pbHkiOiJvdGhlcnMiLCJnaXZlbiI6IiIsInBhcnNlLW5hbWVzIjpmYWxzZSwiZHJvcHBpbmctcGFydGljbGUiOiIiLCJub24tZHJvcHBpbmctcGFydGljbGUiOiIifV0sImNvbnRhaW5lci10aXRsZSI6IkludGVybmF0aW9uYWwgSm91cm5hbCBvZiBGaW5hbmNlICYgRWNvbm9taWNzIiwiaXNzdWVkIjp7ImRhdGUtcGFydHMiOltbMjAyNF1dfSwiY29udGFpbmVyLXRpdGxlLXNob3J0IjoiIn0sImlzVGVtcG9yYXJ5IjpmYWxzZX1dfQ==&quot;,&quot;citationItems&quot;:[{&quot;id&quot;:&quot;0630129a-6ffc-3d24-a5f3-4b310cd0370f&quot;,&quot;itemData&quot;:{&quot;type&quot;:&quot;article-journal&quot;,&quot;id&quot;:&quot;0630129a-6ffc-3d24-a5f3-4b310cd0370f&quot;,&quot;title&quot;:&quot;Determinants of Bank Profitability in India: The Role of Credit Risk and Bank Size&quot;,&quot;author&quot;:[{&quot;family&quot;:&quot;Kumari&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Finance &amp; Economics&quot;,&quot;issued&quot;:{&quot;date-parts&quot;:[[2024]]},&quot;container-title-short&quot;:&quot;&quot;},&quot;isTemporary&quot;:false}]},{&quot;citationID&quot;:&quot;MENDELEY_CITATION_964a3ebb-4fa2-47fb-918b-c7f55e139fd7&quot;,&quot;properties&quot;:{&quot;noteIndex&quot;:0},&quot;isEdited&quot;:false,&quot;manualOverride&quot;:{&quot;isManuallyOverridden&quot;:true,&quot;citeprocText&quot;:&quot;(Galán &amp;#38; Tan, 2024)&quot;,&quot;manualOverrideText&quot;:&quot;Galán &amp; Tan (2024)&quot;},&quot;citationTag&quot;:&quot;MENDELEY_CITATION_v3_eyJjaXRhdGlvbklEIjoiTUVOREVMRVlfQ0lUQVRJT05fOTY0YTNlYmItNGZhMi00N2ZiLTkxOGItYzdmNTVlMTM5ZmQ3IiwicHJvcGVydGllcyI6eyJub3RlSW5kZXgiOjB9LCJpc0VkaXRlZCI6ZmFsc2UsIm1hbnVhbE92ZXJyaWRlIjp7ImlzTWFudWFsbHlPdmVycmlkZGVuIjp0cnVlLCJjaXRlcHJvY1RleHQiOiIoR2Fsw6FuICYjMzg7IFRhbiwgMjAyNCkiLCJtYW51YWxPdmVycmlkZVRleHQiOiJHYWzDoW4gJiBUYW4gKDIwMjQpIn0sImNpdGF0aW9uSXRlbXMiOlt7ImlkIjoiZDYyM2VlMWEtNDBhMi0zOGRhLTk0M2EtMjdjM2UyMGIyYjliIiwiaXRlbURhdGEiOnsidHlwZSI6ImFydGljbGUtam91cm5hbCIsImlkIjoiZDYyM2VlMWEtNDBhMi0zOGRhLTk0M2EtMjdjM2UyMGIyYjliIiwidGl0bGUiOiJHcmVlbiBDcmVkaXQgYW5kIEJhbmsgRWZmaWNpZW5jeTogRXZpZGVuY2UgZnJvbSBDaGluYSIsImF1dGhvciI6W3siZmFtaWx5IjoiR2Fsw6FuIiwiZ2l2ZW4iOiJKb3JnZSBFIiwicGFyc2UtbmFtZXMiOmZhbHNlLCJkcm9wcGluZy1wYXJ0aWNsZSI6IiIsIm5vbi1kcm9wcGluZy1wYXJ0aWNsZSI6IiJ9LHsiZmFtaWx5IjoiVGFuIiwiZ2l2ZW4iOiJZb25nIiwicGFyc2UtbmFtZXMiOmZhbHNlLCJkcm9wcGluZy1wYXJ0aWNsZSI6IiIsIm5vbi1kcm9wcGluZy1wYXJ0aWNsZSI6IiJ9XSwiY29udGFpbmVyLXRpdGxlIjoiRW5lcmd5IEVjb25vbWljcyIsImNvbnRhaW5lci10aXRsZS1zaG9ydCI6IkVuZXJneSBFY29uLiIsImlzc3VlZCI6eyJkYXRlLXBhcnRzIjpbWzIwMjRdXX19LCJpc1RlbXBvcmFyeSI6ZmFsc2V9XX0=&quot;,&quot;citationItems&quot;:[{&quot;id&quot;:&quot;d623ee1a-40a2-38da-943a-27c3e20b2b9b&quot;,&quot;itemData&quot;:{&quot;type&quot;:&quot;article-journal&quot;,&quot;id&quot;:&quot;d623ee1a-40a2-38da-943a-27c3e20b2b9b&quot;,&quot;title&quot;:&quot;Green Credit and Bank Efficiency: Evidence from China&quot;,&quot;author&quot;:[{&quot;family&quot;:&quot;Galán&quot;,&quot;given&quot;:&quot;Jorge E&quot;,&quot;parse-names&quot;:false,&quot;dropping-particle&quot;:&quot;&quot;,&quot;non-dropping-particle&quot;:&quot;&quot;},{&quot;family&quot;:&quot;Tan&quot;,&quot;given&quot;:&quot;Yong&quot;,&quot;parse-names&quot;:false,&quot;dropping-particle&quot;:&quot;&quot;,&quot;non-dropping-particle&quot;:&quot;&quot;}],&quot;container-title&quot;:&quot;Energy Economics&quot;,&quot;container-title-short&quot;:&quot;Energy Econ.&quot;,&quot;issued&quot;:{&quot;date-parts&quot;:[[2024]]}},&quot;isTemporary&quot;:false}]},{&quot;citationID&quot;:&quot;MENDELEY_CITATION_7b7b913f-051e-42da-983e-18795eb6f231&quot;,&quot;properties&quot;:{&quot;noteIndex&quot;:0},&quot;isEdited&quot;:false,&quot;manualOverride&quot;:{&quot;isManuallyOverridden&quot;:true,&quot;citeprocText&quot;:&quot;(Fata &amp;#38; Arifin, 2024)&quot;,&quot;manualOverrideText&quot;:&quot;Fata &amp; Arifin (2024)&quot;},&quot;citationTag&quot;:&quot;MENDELEY_CITATION_v3_eyJjaXRhdGlvbklEIjoiTUVOREVMRVlfQ0lUQVRJT05fN2I3YjkxM2YtMDUxZS00MmRhLTk4M2UtMTg3OTVlYjZmMjMxIiwicHJvcGVydGllcyI6eyJub3RlSW5kZXgiOjB9LCJpc0VkaXRlZCI6ZmFsc2UsIm1hbnVhbE92ZXJyaWRlIjp7ImlzTWFudWFsbHlPdmVycmlkZGVuIjp0cnVlLCJjaXRlcHJvY1RleHQiOiIoRmF0YSAmIzM4OyBBcmlmaW4sIDIwMjQpIiwibWFudWFsT3ZlcnJpZGVUZXh0IjoiRmF0YSAmIEFyaWZpbiAoMjAyNCkifSwiY2l0YXRpb25JdGVtcyI6W3siaWQiOiIyZGI2M2UxMS0wYmE4LTNiYWItODk4Yy0wY2JhOWNiMWE4YTAiLCJpdGVtRGF0YSI6eyJ0eXBlIjoiYXJ0aWNsZS1qb3VybmFsIiwiaWQiOiIyZGI2M2UxMS0wYmE4LTNiYWItODk4Yy0wY2JhOWNiMWE4YTAiLCJ0aXRsZSI6IkdyZWVuIENyZWRpdCBhbmQgQmFua2luZyBQcm9maXRhYmlsaXR5OiBBIFN1Ymdyb3VwIEFuYWx5c2lzIG9mIEluZG9uZXNpYW4gQmFua3MiLCJhdXRob3IiOlt7ImZhbWlseSI6IkZhdGEiLCJnaXZlbiI6IkEiLCJwYXJzZS1uYW1lcyI6ZmFsc2UsImRyb3BwaW5nLXBhcnRpY2xlIjoiIiwibm9uLWRyb3BwaW5nLXBhcnRpY2xlIjoiIn0seyJmYW1pbHkiOiJBcmlmaW4iLCJnaXZlbiI6IkEiLCJwYXJzZS1uYW1lcyI6ZmFsc2UsImRyb3BwaW5nLXBhcnRpY2xlIjoiIiwibm9uLWRyb3BwaW5nLXBhcnRpY2xlIjoiIn1dLCJjb250YWluZXItdGl0bGUiOiJJbmRvbmVzaWFuIEpvdXJuYWwgb2YgQmFua2luZyBhbmQgRmluYW5jaWFsIFN0dWRpZXMiLCJpc3N1ZWQiOnsiZGF0ZS1wYXJ0cyI6W1syMDI0XV19LCJjb250YWluZXItdGl0bGUtc2hvcnQiOiIifSwiaXNUZW1wb3JhcnkiOmZhbHNlfV19&quot;,&quot;citationItems&quot;:[{&quot;id&quot;:&quot;2db63e11-0ba8-3bab-898c-0cba9cb1a8a0&quot;,&quot;itemData&quot;:{&quot;type&quot;:&quot;article-journal&quot;,&quot;id&quot;:&quot;2db63e11-0ba8-3bab-898c-0cba9cb1a8a0&quot;,&quot;title&quot;:&quot;Green Credit and Banking Profitability: A Subgroup Analysis of Indonesian Banks&quot;,&quot;author&quot;:[{&quot;family&quot;:&quot;Fata&quot;,&quot;given&quot;:&quot;A&quot;,&quot;parse-names&quot;:false,&quot;dropping-particle&quot;:&quot;&quot;,&quot;non-dropping-particle&quot;:&quot;&quot;},{&quot;family&quot;:&quot;Arifin&quot;,&quot;given&quot;:&quot;A&quot;,&quot;parse-names&quot;:false,&quot;dropping-particle&quot;:&quot;&quot;,&quot;non-dropping-particle&quot;:&quot;&quot;}],&quot;container-title&quot;:&quot;Indonesian Journal of Banking and Financial Studies&quot;,&quot;issued&quot;:{&quot;date-parts&quot;:[[2024]]},&quot;container-title-short&quot;:&quot;&quot;},&quot;isTemporary&quot;:false}]},{&quot;citationID&quot;:&quot;MENDELEY_CITATION_99b52e7d-a396-404c-ae83-67b098c2cefe&quot;,&quot;properties&quot;:{&quot;noteIndex&quot;:0},&quot;isEdited&quot;:false,&quot;manualOverride&quot;:{&quot;isManuallyOverridden&quot;:false,&quot;citeprocText&quot;:&quot;(Spence, 1973)&quot;,&quot;manualOverrideText&quot;:&quot;&quot;},&quot;citationTag&quot;:&quot;MENDELEY_CITATION_v3_eyJjaXRhdGlvbklEIjoiTUVOREVMRVlfQ0lUQVRJT05fOTliNTJlN2QtYTM5Ni00MDRjLWFlODMtNjdiMDk4YzJjZWZlIiwicHJvcGVydGllcyI6eyJub3RlSW5kZXgiOjB9LCJpc0VkaXRlZCI6ZmFsc2UsIm1hbnVhbE92ZXJyaWRlIjp7ImlzTWFudWFsbHlPdmVycmlkZGVuIjpmYWxzZSwiY2l0ZXByb2NUZXh0IjoiKFNwZW5jZSwgMTk3MykiLCJtYW51YWxPdmVycmlkZVRleHQiOiIifSwiY2l0YXRpb25JdGVtcyI6W3siaWQiOiJmNzY2MGRiYS04NDgwLTNjNGUtYmYzMy1lMzU0MTdjMTRlMDkiLCJpdGVtRGF0YSI6eyJ0eXBlIjoiYXJ0aWNsZS1qb3VybmFsIiwiaWQiOiJmNzY2MGRiYS04NDgwLTNjNGUtYmYzMy1lMzU0MTdjMTRlMDkiLCJ0aXRsZSI6IkpvYiBNYXJrZXQgU2lnbmFsaW5nIiwiYXV0aG9yIjpbeyJmYW1pbHkiOiJTcGVuY2UiLCJnaXZlbiI6Ik1pY2hhZWwiLCJwYXJzZS1uYW1lcyI6ZmFsc2UsImRyb3BwaW5nLXBhcnRpY2xlIjoiIiwibm9uLWRyb3BwaW5nLXBhcnRpY2xlIjoiIn1dLCJjb250YWluZXItdGl0bGUiOiJUaGUgUXVhcnRlcmx5IEpvdXJuYWwgb2YgRWNvbm9taWNzIiwiY29udGFpbmVyLXRpdGxlLXNob3J0IjoiUS4gSi4gRWNvbi4iLCJET0kiOiIxMC4yMzA3LzE4ODIwMTAiLCJpc3N1ZWQiOnsiZGF0ZS1wYXJ0cyI6W1sxOTczXV19LCJwYWdlIjoiMzU1LTM3NCIsImlzc3VlIjoiMyIsInZvbHVtZSI6Ijg3In0sImlzVGVtcG9yYXJ5IjpmYWxzZX1dfQ==&quot;,&quot;citationItems&quot;:[{&quot;id&quot;:&quot;f7660dba-8480-3c4e-bf33-e35417c14e09&quot;,&quot;itemData&quot;:{&quot;type&quot;:&quot;article-journal&quot;,&quot;id&quot;:&quot;f7660dba-8480-3c4e-bf33-e35417c14e09&quot;,&quot;title&quot;:&quot;Job Market Signaling&quot;,&quot;author&quot;:[{&quot;family&quot;:&quot;Spence&quot;,&quot;given&quot;:&quot;Michael&quot;,&quot;parse-names&quot;:false,&quot;dropping-particle&quot;:&quot;&quot;,&quot;non-dropping-particle&quot;:&quot;&quot;}],&quot;container-title&quot;:&quot;The Quarterly Journal of Economics&quot;,&quot;container-title-short&quot;:&quot;Q. J. Econ.&quot;,&quot;DOI&quot;:&quot;10.2307/1882010&quot;,&quot;issued&quot;:{&quot;date-parts&quot;:[[1973]]},&quot;page&quot;:&quot;355-374&quot;,&quot;issue&quot;:&quot;3&quot;,&quot;volume&quot;:&quot;87&quot;},&quot;isTemporary&quot;:false}]},{&quot;citationID&quot;:&quot;MENDELEY_CITATION_987a3b01-148f-4a21-854e-72d09bf1fded&quot;,&quot;properties&quot;:{&quot;noteIndex&quot;:0},&quot;isEdited&quot;:false,&quot;manualOverride&quot;:{&quot;isManuallyOverridden&quot;:false,&quot;citeprocText&quot;:&quot;(Ross, 1977)&quot;,&quot;manualOverrideText&quot;:&quot;&quot;},&quot;citationTag&quot;:&quot;MENDELEY_CITATION_v3_eyJjaXRhdGlvbklEIjoiTUVOREVMRVlfQ0lUQVRJT05fOTg3YTNiMDEtMTQ4Zi00YTIxLTg1NGUtNzJkMDliZjFmZGVkIiwicHJvcGVydGllcyI6eyJub3RlSW5kZXgiOjB9LCJpc0VkaXRlZCI6ZmFsc2UsIm1hbnVhbE92ZXJyaWRlIjp7ImlzTWFudWFsbHlPdmVycmlkZGVuIjpmYWxzZSwiY2l0ZXByb2NUZXh0IjoiKFJvc3MsIDE5NzcpIiwibWFudWFsT3ZlcnJpZGVUZXh0IjoiIn0sImNpdGF0aW9uSXRlbXMiOlt7ImlkIjoiM2JmZDM4NDctZjBkNy0zZmVlLThhNTYtZjhkYTg5NmJkNWVlIiwiaXRlbURhdGEiOnsidHlwZSI6ImFydGljbGUtam91cm5hbCIsImlkIjoiM2JmZDM4NDctZjBkNy0zZmVlLThhNTYtZjhkYTg5NmJkNWVlIiwidGl0bGUiOiJUaGUgRGV0ZXJtaW5hdGlvbiBvZiBGaW5hbmNpYWwgU3RydWN0dXJlOiBUaGUgSW5jZW50aXZlLVNpZ25hbGxpbmcgQXBwcm9hY2giLCJhdXRob3IiOlt7ImZhbWlseSI6IlJvc3MiLCJnaXZlbiI6IlN0ZXBoZW4gQSIsInBhcnNlLW5hbWVzIjpmYWxzZSwiZHJvcHBpbmctcGFydGljbGUiOiIiLCJub24tZHJvcHBpbmctcGFydGljbGUiOiIifV0sImNvbnRhaW5lci10aXRsZSI6IlRoZSBCZWxsIEpvdXJuYWwgb2YgRWNvbm9taWNzIiwiRE9JIjoiMTAuMjMwNy8zMDAzNDg1IiwiaXNzdWVkIjp7ImRhdGUtcGFydHMiOltbMTk3N11dfSwicGFnZSI6IjIzLTQwIiwiaXNzdWUiOiIxIiwidm9sdW1lIjoiOCIsImNvbnRhaW5lci10aXRsZS1zaG9ydCI6IiJ9LCJpc1RlbXBvcmFyeSI6ZmFsc2V9XX0=&quot;,&quot;citationItems&quot;:[{&quot;id&quot;:&quot;3bfd3847-f0d7-3fee-8a56-f8da896bd5ee&quot;,&quot;itemData&quot;:{&quot;type&quot;:&quot;article-journal&quot;,&quot;id&quot;:&quot;3bfd3847-f0d7-3fee-8a56-f8da896bd5ee&quot;,&quot;title&quot;:&quot;The Determination of Financial Structure: The Incentive-Signalling Approach&quot;,&quot;author&quot;:[{&quot;family&quot;:&quot;Ross&quot;,&quot;given&quot;:&quot;Stephen A&quot;,&quot;parse-names&quot;:false,&quot;dropping-particle&quot;:&quot;&quot;,&quot;non-dropping-particle&quot;:&quot;&quot;}],&quot;container-title&quot;:&quot;The Bell Journal of Economics&quot;,&quot;DOI&quot;:&quot;10.2307/3003485&quot;,&quot;issued&quot;:{&quot;date-parts&quot;:[[1977]]},&quot;page&quot;:&quot;23-40&quot;,&quot;issue&quot;:&quot;1&quot;,&quot;volume&quot;:&quot;8&quot;,&quot;container-title-short&quot;:&quot;&quot;},&quot;isTemporary&quot;:false}]},{&quot;citationID&quot;:&quot;MENDELEY_CITATION_83259be9-2e3b-48e7-93da-ce283d8c5ed1&quot;,&quot;properties&quot;:{&quot;noteIndex&quot;:0},&quot;isEdited&quot;:false,&quot;manualOverride&quot;:{&quot;isManuallyOverridden&quot;:false,&quot;citeprocText&quot;:&quot;(Fatemi et al., 2018)&quot;,&quot;manualOverrideText&quot;:&quot;&quot;},&quot;citationTag&quot;:&quot;MENDELEY_CITATION_v3_eyJjaXRhdGlvbklEIjoiTUVOREVMRVlfQ0lUQVRJT05fODMyNTliZTktMmUzYi00OGU3LTkzZGEtY2UyODNkOGM1ZWQxIiwicHJvcGVydGllcyI6eyJub3RlSW5kZXgiOjB9LCJpc0VkaXRlZCI6ZmFsc2UsIm1hbnVhbE92ZXJyaWRlIjp7ImlzTWFudWFsbHlPdmVycmlkZGVuIjpmYWxzZSwiY2l0ZXByb2NUZXh0IjoiKEZhdGVtaSBldCBhbC4sIDIwMTgpIiwibWFudWFsT3ZlcnJpZGVUZXh0IjoiIn0sImNpdGF0aW9uSXRlbXMiOlt7ImlkIjoiMTZlOGFkZDItY2FkOC0zZTZiLThiY2YtODZhZjUzNThjMDdkIiwiaXRlbURhdGEiOnsidHlwZSI6ImFydGljbGUtam91cm5hbCIsImlkIjoiMTZlOGFkZDItY2FkOC0zZTZiLThiY2YtODZhZjUzNThjMDdkIiwidGl0bGUiOiJFU0cgUGVyZm9ybWFuY2UgYW5kIEZpcm0gVmFsdWU6IFRoZSBNb2RlcmF0aW5nIFJvbGUgb2YgRGlzY2xvc3VyZSIsImF1dGhvciI6W3siZmFtaWx5IjoiRmF0ZW1pIiwiZ2l2ZW4iOiJBbGkiLCJwYXJzZS1uYW1lcyI6ZmFsc2UsImRyb3BwaW5nLXBhcnRpY2xlIjoiIiwibm9uLWRyb3BwaW5nLXBhcnRpY2xlIjoiIn0seyJmYW1pbHkiOiJHbGF1bSIsImdpdmVuIjoiTWFydGluIiwicGFyc2UtbmFtZXMiOmZhbHNlLCJkcm9wcGluZy1wYXJ0aWNsZSI6IiIsIm5vbi1kcm9wcGluZy1wYXJ0aWNsZSI6IiJ9LHsiZmFtaWx5IjoiS2Fpc2VyIiwiZ2l2ZW4iOiJTdGVmYW5pZSIsInBhcnNlLW5hbWVzIjpmYWxzZSwiZHJvcHBpbmctcGFydGljbGUiOiIiLCJub24tZHJvcHBpbmctcGFydGljbGUiOiIifV0sImNvbnRhaW5lci10aXRsZSI6Ikdsb2JhbCBGaW5hbmNlIEpvdXJuYWwiLCJET0kiOiIxMC4xMDE2L2ouZ2ZqLjIwMTcuMDMuMDAxIiwiaXNzdWVkIjp7ImRhdGUtcGFydHMiOltbMjAxOF1dfSwicGFnZSI6IjQ1LTY0Iiwidm9sdW1lIjoiMzgiLCJjb250YWluZXItdGl0bGUtc2hvcnQiOiIifSwiaXNUZW1wb3JhcnkiOmZhbHNlfV19&quot;,&quot;citationItems&quot;:[{&quot;id&quot;:&quot;16e8add2-cad8-3e6b-8bcf-86af5358c07d&quot;,&quot;itemData&quot;:{&quot;type&quot;:&quot;article-journal&quot;,&quot;id&quot;:&quot;16e8add2-cad8-3e6b-8bcf-86af5358c07d&quot;,&quot;title&quot;:&quot;ESG Performance and Firm Value: The Moderating Role of Disclosure&quot;,&quot;author&quot;:[{&quot;family&quot;:&quot;Fatemi&quot;,&quot;given&quot;:&quot;Ali&quot;,&quot;parse-names&quot;:false,&quot;dropping-particle&quot;:&quot;&quot;,&quot;non-dropping-particle&quot;:&quot;&quot;},{&quot;family&quot;:&quot;Glaum&quot;,&quot;given&quot;:&quot;Martin&quot;,&quot;parse-names&quot;:false,&quot;dropping-particle&quot;:&quot;&quot;,&quot;non-dropping-particle&quot;:&quot;&quot;},{&quot;family&quot;:&quot;Kaiser&quot;,&quot;given&quot;:&quot;Stefanie&quot;,&quot;parse-names&quot;:false,&quot;dropping-particle&quot;:&quot;&quot;,&quot;non-dropping-particle&quot;:&quot;&quot;}],&quot;container-title&quot;:&quot;Global Finance Journal&quot;,&quot;DOI&quot;:&quot;10.1016/j.gfj.2017.03.001&quot;,&quot;issued&quot;:{&quot;date-parts&quot;:[[2018]]},&quot;page&quot;:&quot;45-64&quot;,&quot;volume&quot;:&quot;38&quot;,&quot;container-title-short&quot;:&quot;&quot;},&quot;isTemporary&quot;:false}]},{&quot;citationID&quot;:&quot;MENDELEY_CITATION_d1ec13c8-e972-4c3b-a257-df51098bb967&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ZDFlYzEzYzgtZTk3Mi00YzNiLWEyNTctZGY1MTA5OGJiOTY3IiwicHJvcGVydGllcyI6eyJub3RlSW5kZXgiOjB9LCJpc0VkaXRlZCI6ZmFsc2UsIm1hbnVhbE92ZXJyaWRlIjp7ImlzTWFudWFsbHlPdmVycmlkZGVuIjpmYWxzZSwiY2l0ZXByb2NUZXh0IjoiKEplbnNlbiAmIzM4OyBNZWNrbGluZywgMTk3NikiLCJtYW51YWxPdmVycmlkZVRleHQiOiIifSwiY2l0YXRpb25JdGVtcyI6W3siaWQiOiI0Njc0NzI1Yi0wYzEwLTMxOTgtOWZmNi1hYzg1NDE4NDlhY2UiLCJpdGVtRGF0YSI6eyJ0eXBlIjoiYXJ0aWNsZS1qb3VybmFsIiwiaWQiOiI0Njc0NzI1Yi0wYzEwLTMxOTgtOWZmNi1hYzg1NDE4NDlhY2UiLCJ0aXRsZSI6IlRoZW9yeSBvZiB0aGUgRmlybTogTWFuYWdlcmlhbCBCZWhhdmlvciwgQWdlbmN5IENvc3Rz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RE9JIjoiMTAuMTAxNi8wMzA0LTQwNVgoNzYpOTAwMjYtWCIsImlzc3VlZCI6eyJkYXRlLXBhcnRzIjpbWzE5NzZdXX0sInBhZ2UiOiIzMDUtMzYwIiwiaXNzdWUiOiI0Iiwidm9sdW1lIjoiMyJ9LCJpc1RlbXBvcmFyeSI6ZmFsc2V9XX0=&quot;,&quot;citationItems&quot;:[{&quot;id&quot;:&quot;4674725b-0c10-3198-9ff6-ac8541849ace&quot;,&quot;itemData&quot;:{&quot;type&quot;:&quot;article-journal&quot;,&quot;id&quot;:&quot;4674725b-0c10-3198-9ff6-ac8541849ace&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DOI&quot;:&quot;10.1016/0304-405X(76)90026-X&quot;,&quot;issued&quot;:{&quot;date-parts&quot;:[[1976]]},&quot;page&quot;:&quot;305-360&quot;,&quot;issue&quot;:&quot;4&quot;,&quot;volume&quot;:&quot;3&quot;},&quot;isTemporary&quot;:false}]},{&quot;citationID&quot;:&quot;MENDELEY_CITATION_f3a4e61a-0f8b-4c40-af7d-e7cf2361bd7b&quot;,&quot;properties&quot;:{&quot;noteIndex&quot;:0},&quot;isEdited&quot;:false,&quot;manualOverride&quot;:{&quot;isManuallyOverridden&quot;:false,&quot;citeprocText&quot;:&quot;(Berger &amp;#38; DeYoung, 1997)&quot;,&quot;manualOverrideText&quot;:&quot;&quot;},&quot;citationTag&quot;:&quot;MENDELEY_CITATION_v3_eyJjaXRhdGlvbklEIjoiTUVOREVMRVlfQ0lUQVRJT05fZjNhNGU2MWEtMGY4Yi00YzQwLWFmN2QtZTdjZjIzNjFiZDdiIiwicHJvcGVydGllcyI6eyJub3RlSW5kZXgiOjB9LCJpc0VkaXRlZCI6ZmFsc2UsIm1hbnVhbE92ZXJyaWRlIjp7ImlzTWFudWFsbHlPdmVycmlkZGVuIjpmYWxzZSwiY2l0ZXByb2NUZXh0IjoiKEJlcmdlciAmIzM4OyBEZVlvdW5nLCAxOTk3KSIsIm1hbnVhbE92ZXJyaWRlVGV4dCI6IiJ9LCJjaXRhdGlvbkl0ZW1zIjpbeyJpZCI6IjNkNDY1MmViLTI1OWUtM2FmMS05NTVjLTc0YmE4NzYxMzgxNCIsIml0ZW1EYXRhIjp7InR5cGUiOiJhcnRpY2xlLWpvdXJuYWwiLCJpZCI6IjNkNDY1MmViLTI1OWUtM2FmMS05NTVjLTc0YmE4NzYxMzgxNCIsInRpdGxlIjoiUHJvYmxlbSBMb2FucyBhbmQgQ29zdCBFZmZpY2llbmN5IGluIENvbW1lcmNpYWwgQmFua3MiLCJhdXRob3IiOlt7ImZhbWlseSI6IkJlcmdlciIsImdpdmVuIjoiQWxsZW4gTiIsInBhcnNlLW5hbWVzIjpmYWxzZSwiZHJvcHBpbmctcGFydGljbGUiOiIiLCJub24tZHJvcHBpbmctcGFydGljbGUiOiIifSx7ImZhbWlseSI6IkRlWW91bmciLCJnaXZlbiI6IlJvYmVydCIsInBhcnNlLW5hbWVzIjpmYWxzZSwiZHJvcHBpbmctcGFydGljbGUiOiIiLCJub24tZHJvcHBpbmctcGFydGljbGUiOiIifV0sImNvbnRhaW5lci10aXRsZSI6IkpvdXJuYWwgb2YgQmFua2luZyAmIEZpbmFuY2UiLCJjb250YWluZXItdGl0bGUtc2hvcnQiOiJKLiBCYW5rLiBGaW5hbmMuIiwiRE9JIjoiMTAuMTAxNi9TMDM3OC00MjY2KDk3KTAwMDAzLTQiLCJpc3N1ZWQiOnsiZGF0ZS1wYXJ0cyI6W1sxOTk3XV19LCJwYWdlIjoiODQ5LTg3MCIsImlzc3VlIjoiNiIsInZvbHVtZSI6IjIxIn0sImlzVGVtcG9yYXJ5IjpmYWxzZX1dfQ==&quot;,&quot;citationItems&quot;:[{&quot;id&quot;:&quot;3d4652eb-259e-3af1-955c-74ba87613814&quot;,&quot;itemData&quot;:{&quot;type&quot;:&quot;article-journal&quot;,&quot;id&quot;:&quot;3d4652eb-259e-3af1-955c-74ba87613814&quot;,&quot;title&quot;:&quot;Problem Loans and Cost Efficiency in Commercial Banks&quot;,&quot;author&quot;:[{&quot;family&quot;:&quot;Berger&quot;,&quot;given&quot;:&quot;Allen N&quot;,&quot;parse-names&quot;:false,&quot;dropping-particle&quot;:&quot;&quot;,&quot;non-dropping-particle&quot;:&quot;&quot;},{&quot;family&quot;:&quot;DeYoung&quot;,&quot;given&quot;:&quot;Robert&quot;,&quot;parse-names&quot;:false,&quot;dropping-particle&quot;:&quot;&quot;,&quot;non-dropping-particle&quot;:&quot;&quot;}],&quot;container-title&quot;:&quot;Journal of Banking &amp; Finance&quot;,&quot;container-title-short&quot;:&quot;J. Bank. Financ.&quot;,&quot;DOI&quot;:&quot;10.1016/S0378-4266(97)00003-4&quot;,&quot;issued&quot;:{&quot;date-parts&quot;:[[1997]]},&quot;page&quot;:&quot;849-870&quot;,&quot;issue&quot;:&quot;6&quot;,&quot;volume&quot;:&quot;21&quot;},&quot;isTemporary&quot;:false}]},{&quot;citationID&quot;:&quot;MENDELEY_CITATION_a5afb9c2-07f9-4c6a-9af1-5b378718a6c2&quot;,&quot;properties&quot;:{&quot;noteIndex&quot;:0},&quot;isEdited&quot;:false,&quot;manualOverride&quot;:{&quot;isManuallyOverridden&quot;:false,&quot;citeprocText&quot;:&quot;(Barney, 1991)&quot;,&quot;manualOverrideText&quot;:&quot;&quot;},&quot;citationTag&quot;:&quot;MENDELEY_CITATION_v3_eyJjaXRhdGlvbklEIjoiTUVOREVMRVlfQ0lUQVRJT05fYTVhZmI5YzItMDdmOS00YzZhLTlhZjEtNWIzNzg3MThhNmMyIiwicHJvcGVydGllcyI6eyJub3RlSW5kZXgiOjB9LCJpc0VkaXRlZCI6ZmFsc2UsIm1hbnVhbE92ZXJyaWRlIjp7ImlzTWFudWFsbHlPdmVycmlkZGVuIjpmYWxzZSwiY2l0ZXByb2NUZXh0IjoiKEJhcm5leSwgMTk5MSkiLCJtYW51YWxPdmVycmlkZVRleHQiOiIifSwiY2l0YXRpb25JdGVtcyI6W3siaWQiOiI1Mjg1NDc1MS0xNjVmLTM5ODQtOGNlNC03MGU5NzUyNjlkMTAiLCJpdGVtRGF0YSI6eyJ0eXBlIjoiYXJ0aWNsZS1qb3VybmFsIiwiaWQiOiI1Mjg1NDc1MS0xNjVmLTM5ODQtOGNlNC03MGU5NzUyNjlkMTA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uIE1hbmFnZS4iLCJET0kiOiIxMC4xMTc3LzAxNDkyMDYzOTEwMTcwMDEwOCIsImlzc3VlZCI6eyJkYXRlLXBhcnRzIjpbWzE5OTFdXX0sInBhZ2UiOiI5OS0xMjAiLCJpc3N1ZSI6IjEiLCJ2b2x1bWUiOiIxNyJ9LCJpc1RlbXBvcmFyeSI6ZmFsc2V9XX0=&quot;,&quot;citationItems&quot;:[{&quot;id&quot;:&quot;52854751-165f-3984-8ce4-70e975269d10&quot;,&quot;itemData&quot;:{&quot;type&quot;:&quot;article-journal&quot;,&quot;id&quot;:&quot;52854751-165f-3984-8ce4-70e975269d10&quot;,&quot;title&quot;:&quot;Firm Resources and Sustained Competitive Advantage&quot;,&quot;author&quot;:[{&quot;family&quot;:&quot;Barney&quot;,&quot;given&quot;:&quot;Jay&quot;,&quot;parse-names&quot;:false,&quot;dropping-particle&quot;:&quot;&quot;,&quot;non-dropping-particle&quot;:&quot;&quot;}],&quot;container-title&quot;:&quot;Journal of Management&quot;,&quot;container-title-short&quot;:&quot;J. Manage.&quot;,&quot;DOI&quot;:&quot;10.1177/014920639101700108&quot;,&quot;issued&quot;:{&quot;date-parts&quot;:[[1991]]},&quot;page&quot;:&quot;99-120&quot;,&quot;issue&quot;:&quot;1&quot;,&quot;volume&quot;:&quot;17&quot;},&quot;isTemporary&quot;:false}]},{&quot;citationID&quot;:&quot;MENDELEY_CITATION_b5faf7d6-b315-4394-ae9a-f9b274565152&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YjVmYWY3ZDYtYjMxNS00Mzk0LWFlOWEtZjliMjc0NTY1MTUy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a0ed30e3-18f0-4b29-b365-8e849f4294e7&quot;,&quot;properties&quot;:{&quot;noteIndex&quot;:0},&quot;isEdited&quot;:false,&quot;manualOverride&quot;:{&quot;isManuallyOverridden&quot;:true,&quot;citeprocText&quot;:&quot;(Lian et al., 2022)&quot;,&quot;manualOverrideText&quot;:&quot;(Lian et al., 2022&quot;},&quot;citationTag&quot;:&quot;MENDELEY_CITATION_v3_eyJjaXRhdGlvbklEIjoiTUVOREVMRVlfQ0lUQVRJT05fYTBlZDMwZTMtMThmMC00YjI5LWIzNjUtOGU4NDlmNDI5NGU3IiwicHJvcGVydGllcyI6eyJub3RlSW5kZXgiOjB9LCJpc0VkaXRlZCI6ZmFsc2UsIm1hbnVhbE92ZXJyaWRlIjp7ImlzTWFudWFsbHlPdmVycmlkZGVuIjp0cnVlLCJjaXRlcHJvY1RleHQiOiIoTGlhbiBldCBhbC4sIDIwMjIpIiwibWFudWFsT3ZlcnJpZGVUZXh0IjoiKExpYW4gZXQgYWwuLCAyMDIyIn0sImNpdGF0aW9uSXRlbXMiOlt7ImlkIjoiNTViMGI1YzUtMGQzNS0zYzk3LWI2YmItM2QyYmFlNzU1MmJiIiwiaXRlbURhdGEiOnsidHlwZSI6ImFydGljbGUtam91cm5hbCIsImlkIjoiNTViMGI1YzUtMGQzNS0zYzk3LWI2YmItM2QyYmFlNzU1MmJiIiwidGl0bGUiOiJUaGUgSW1wYWN0IG9mIEdyZWVuIENyZWRpdCBvbiB0aGUgUHJvZml0YWJpbGl0eSBvZiBDb21tZXJjaWFsIEJhbmtzIGluIENoaW5hIiwiYXV0aG9yIjpbeyJmYW1pbHkiOiJMaWFuIiwiZ2l2ZW4iOiJZb25naHVpIiwicGFyc2UtbmFtZXMiOmZhbHNlLCJkcm9wcGluZy1wYXJ0aWNsZSI6IiIsIm5vbi1kcm9wcGluZy1wYXJ0aWNsZSI6IiJ9LHsiZmFtaWx5IjoiR2FvIiwiZ2l2ZW4iOiJKaWV5aW5nIiwicGFyc2UtbmFtZXMiOmZhbHNlLCJkcm9wcGluZy1wYXJ0aWNsZSI6IiIsIm5vbi1kcm9wcGluZy1wYXJ0aWNsZSI6IiJ9LHsiZmFtaWx5IjoiWWUiLCJnaXZlbiI6IlRhbyIsInBhcnNlLW5hbWVzIjpmYWxzZSwiZHJvcHBpbmctcGFydGljbGUiOiIiLCJub24tZHJvcHBpbmctcGFydGljbGUiOiIifV0sImNvbnRhaW5lci10aXRsZSI6IlN1c3RhaW5hYmlsaXR5IiwiY29udGFpbmVyLXRpdGxlLXNob3J0IjoiU3VzdGFpbmFiaWxpdHkiLCJET0kiOiIxMC4zMzkwL3N1MTQxNTk1MzEiLCJpc3N1ZWQiOnsiZGF0ZS1wYXJ0cyI6W1syMDIyXV19LCJwYWdlIjoiOTUzMSIsImlzc3VlIjoiMTUiLCJ2b2x1bWUiOiIxNCJ9LCJpc1RlbXBvcmFyeSI6ZmFsc2V9XX0=&quot;,&quot;citationItems&quot;:[{&quot;id&quot;:&quot;55b0b5c5-0d35-3c97-b6bb-3d2bae7552bb&quot;,&quot;itemData&quot;:{&quot;type&quot;:&quot;article-journal&quot;,&quot;id&quot;:&quot;55b0b5c5-0d35-3c97-b6bb-3d2bae7552bb&quot;,&quot;title&quot;:&quot;The Impact of Green Credit on the Profitability of Commercial Banks in China&quot;,&quot;author&quot;:[{&quot;family&quot;:&quot;Lian&quot;,&quot;given&quot;:&quot;Yonghui&quot;,&quot;parse-names&quot;:false,&quot;dropping-particle&quot;:&quot;&quot;,&quot;non-dropping-particle&quot;:&quot;&quot;},{&quot;family&quot;:&quot;Gao&quot;,&quot;given&quot;:&quot;Jieying&quot;,&quot;parse-names&quot;:false,&quot;dropping-particle&quot;:&quot;&quot;,&quot;non-dropping-particle&quot;:&quot;&quot;},{&quot;family&quot;:&quot;Ye&quot;,&quot;given&quot;:&quot;Tao&quot;,&quot;parse-names&quot;:false,&quot;dropping-particle&quot;:&quot;&quot;,&quot;non-dropping-particle&quot;:&quot;&quot;}],&quot;container-title&quot;:&quot;Sustainability&quot;,&quot;container-title-short&quot;:&quot;Sustainability&quot;,&quot;DOI&quot;:&quot;10.3390/su14159531&quot;,&quot;issued&quot;:{&quot;date-parts&quot;:[[2022]]},&quot;page&quot;:&quot;9531&quot;,&quot;issue&quot;:&quot;15&quot;,&quot;volume&quot;:&quot;14&quot;},&quot;isTemporary&quot;:false}]},{&quot;citationID&quot;:&quot;MENDELEY_CITATION_6ac7d6b6-aa52-4f71-9368-afc119d63b9e&quot;,&quot;properties&quot;:{&quot;noteIndex&quot;:0},&quot;isEdited&quot;:false,&quot;manualOverride&quot;:{&quot;isManuallyOverridden&quot;:true,&quot;citeprocText&quot;:&quot;(R. Riyanti &amp;#38; others, 2025)&quot;,&quot;manualOverrideText&quot;:&quot;Riyanti et al, 2025)&quot;},&quot;citationTag&quot;:&quot;MENDELEY_CITATION_v3_eyJjaXRhdGlvbklEIjoiTUVOREVMRVlfQ0lUQVRJT05fNmFjN2Q2YjYtYWE1Mi00ZjcxLTkzNjgtYWZjMTE5ZDYzYjllIiwicHJvcGVydGllcyI6eyJub3RlSW5kZXgiOjB9LCJpc0VkaXRlZCI6ZmFsc2UsIm1hbnVhbE92ZXJyaWRlIjp7ImlzTWFudWFsbHlPdmVycmlkZGVuIjp0cnVlLCJjaXRlcHJvY1RleHQiOiIoUi4gUml5YW50aSAmIzM4OyBvdGhlcnMsIDIwMjUpIiwibWFudWFsT3ZlcnJpZGVUZXh0IjoiUml5YW50aSBldCBhbCwgMjAyNSkifSwiY2l0YXRpb25JdGVtcyI6W3siaWQiOiJiY2ZhZDA0ZC04MzAyLTNmMzQtOGYwMC1lOGM5YTVjNWNkMmIiLCJpdGVtRGF0YSI6eyJ0eXBlIjoiYXJ0aWNsZS1qb3VybmFsIiwiaWQiOiJiY2ZhZDA0ZC04MzAyLTNmMzQtOGYwMC1lOGM5YTVjNWNkMmIiLCJ0aXRsZSI6IlRoZSBFZmZlY3Qgb2YgR3JlZW4gTG9hbnMgb24gdGhlIEZpbmFuY2lhbCBQZXJmb3JtYW5jZSBvZiBDb252ZW50aW9uYWwgQmFua3MgaW4gSW5kb25lc2lhIiwiYXV0aG9yIjpbeyJmYW1pbHkiOiJSaXlhbnRpIiwiZ2l2ZW4iOiJSIiwicGFyc2UtbmFtZXMiOmZhbHNlLCJkcm9wcGluZy1wYXJ0aWNsZSI6IiIsIm5vbi1kcm9wcGluZy1wYXJ0aWNsZSI6IiJ9LHsiZmFtaWx5Ijoib3RoZXJzIiwiZ2l2ZW4iOiIiLCJwYXJzZS1uYW1lcyI6ZmFsc2UsImRyb3BwaW5nLXBhcnRpY2xlIjoiIiwibm9uLWRyb3BwaW5nLXBhcnRpY2xlIjoiIn1dLCJjb250YWluZXItdGl0bGUiOiJKdXJuYWwgQWt1bnRhbnNpIGRhbiBLZXVhbmdhbiBJbmRvbmVzaWEiLCJpc3N1ZWQiOnsiZGF0ZS1wYXJ0cyI6W1syMDI1XV19LCJjb250YWluZXItdGl0bGUtc2hvcnQiOiIifSwiaXNUZW1wb3JhcnkiOmZhbHNlfV19&quot;,&quot;citationItems&quot;:[{&quot;id&quot;:&quot;bcfad04d-8302-3f34-8f00-e8c9a5c5cd2b&quot;,&quot;itemData&quot;:{&quot;type&quot;:&quot;article-journal&quot;,&quot;id&quot;:&quot;bcfad04d-8302-3f34-8f00-e8c9a5c5cd2b&quot;,&quot;title&quot;:&quot;The Effect of Green Loans on the Financial Performance of Conventional Banks in Indonesia&quot;,&quot;author&quot;:[{&quot;family&quot;:&quot;Riyanti&quot;,&quot;given&quot;:&quot;R&quot;,&quot;parse-names&quot;:false,&quot;dropping-particle&quot;:&quot;&quot;,&quot;non-dropping-particle&quot;:&quot;&quot;},{&quot;family&quot;:&quot;others&quot;,&quot;given&quot;:&quot;&quot;,&quot;parse-names&quot;:false,&quot;dropping-particle&quot;:&quot;&quot;,&quot;non-dropping-particle&quot;:&quot;&quot;}],&quot;container-title&quot;:&quot;Jurnal Akuntansi dan Keuangan Indonesia&quot;,&quot;issued&quot;:{&quot;date-parts&quot;:[[2025]]},&quot;container-title-short&quot;:&quot;&quot;},&quot;isTemporary&quot;:false}]},{&quot;citationID&quot;:&quot;MENDELEY_CITATION_7046eaf6-28f6-4cdf-b4c8-ef0bac80338d&quot;,&quot;properties&quot;:{&quot;noteIndex&quot;:0},&quot;isEdited&quot;:false,&quot;manualOverride&quot;:{&quot;isManuallyOverridden&quot;:true,&quot;citeprocText&quot;:&quot;(Lamothe &amp;#38; others, 2024)&quot;,&quot;manualOverrideText&quot;:&quot;Lamothe et al, 2024&quot;},&quot;citationTag&quot;:&quot;MENDELEY_CITATION_v3_eyJjaXRhdGlvbklEIjoiTUVOREVMRVlfQ0lUQVRJT05fNzA0NmVhZjYtMjhmNi00Y2RmLWI0YzgtZWYwYmFjODAzMzhkIiwicHJvcGVydGllcyI6eyJub3RlSW5kZXgiOjB9LCJpc0VkaXRlZCI6ZmFsc2UsIm1hbnVhbE92ZXJyaWRlIjp7ImlzTWFudWFsbHlPdmVycmlkZGVuIjp0cnVlLCJjaXRlcHJvY1RleHQiOiIoTGFtb3RoZSAmIzM4OyBvdGhlcnMsIDIwMjQpIiwibWFudWFsT3ZlcnJpZGVUZXh0IjoiTGFtb3RoZSBldCBhbCwgMjAyNCJ9LCJjaXRhdGlvbkl0ZW1zIjpbeyJpZCI6ImM1ZmY0MDliLTRiZTMtM2M0Yi1iNDUzLWI1ZGM4NWYwMmQ3ZSIsIml0ZW1EYXRhIjp7InR5cGUiOiJhcnRpY2xlLWpvdXJuYWwiLCJpZCI6ImM1ZmY0MDliLTRiZTMtM2M0Yi1iNDUzLWI1ZGM4NWYwMmQ3ZSIsInRpdGxlIjoiQmFuayBQcm9maXRhYmlsaXR5IEFjcm9zcyBDb3VudHJpZXM6IEEgUGFuZWwtRGF0YSBBbmFseXNpcyBvZiAxMTAgQ291bnRyaWVzIiwiYXV0aG9yIjpbeyJmYW1pbHkiOiJMYW1vdGhlIiwiZ2l2ZW4iOiJQIiwicGFyc2UtbmFtZXMiOmZhbHNlLCJkcm9wcGluZy1wYXJ0aWNsZSI6IiIsIm5vbi1kcm9wcGluZy1wYXJ0aWNsZSI6IiJ9LHsiZmFtaWx5Ijoib3RoZXJzIiwiZ2l2ZW4iOiIiLCJwYXJzZS1uYW1lcyI6ZmFsc2UsImRyb3BwaW5nLXBhcnRpY2xlIjoiIiwibm9uLWRyb3BwaW5nLXBhcnRpY2xlIjoiIn1dLCJjb250YWluZXItdGl0bGUiOiJSZXNlYXJjaCBpbiBJbnRlcm5hdGlvbmFsIEJ1c2luZXNzIGFuZCBGaW5hbmNlIiwiY29udGFpbmVyLXRpdGxlLXNob3J0IjoiUmVzLiBJbnQuIEJ1cy4gRmluYW5jZSIsImlzc3VlZCI6eyJkYXRlLXBhcnRzIjpbWzIwMjRdXX19LCJpc1RlbXBvcmFyeSI6ZmFsc2V9XX0=&quot;,&quot;citationItems&quot;:[{&quot;id&quot;:&quot;c5ff409b-4be3-3c4b-b453-b5dc85f02d7e&quot;,&quot;itemData&quot;:{&quot;type&quot;:&quot;article-journal&quot;,&quot;id&quot;:&quot;c5ff409b-4be3-3c4b-b453-b5dc85f02d7e&quot;,&quot;title&quot;:&quot;Bank Profitability Across Countries: A Panel-Data Analysis of 110 Countries&quot;,&quot;author&quot;:[{&quot;family&quot;:&quot;Lamothe&quot;,&quot;given&quot;:&quot;P&quot;,&quot;parse-names&quot;:false,&quot;dropping-particle&quot;:&quot;&quot;,&quot;non-dropping-particle&quot;:&quot;&quot;},{&quot;family&quot;:&quot;others&quot;,&quot;given&quot;:&quot;&quot;,&quot;parse-names&quot;:false,&quot;dropping-particle&quot;:&quot;&quot;,&quot;non-dropping-particle&quot;:&quot;&quot;}],&quot;container-title&quot;:&quot;Research in International Business and Finance&quot;,&quot;container-title-short&quot;:&quot;Res. Int. Bus. Finance&quot;,&quot;issued&quot;:{&quot;date-parts&quot;:[[2024]]}},&quot;isTemporary&quot;:false}]},{&quot;citationID&quot;:&quot;MENDELEY_CITATION_ae9a4078-31e7-4dc3-9811-cb49c065c336&quot;,&quot;properties&quot;:{&quot;noteIndex&quot;:0},&quot;isEdited&quot;:false,&quot;manualOverride&quot;:{&quot;isManuallyOverridden&quot;:true,&quot;citeprocText&quot;:&quot;(Tan &amp;#38; Floros, 2022)&quot;,&quot;manualOverrideText&quot;:&quot;Tan &amp; Floros (2022)&quot;},&quot;citationTag&quot;:&quot;MENDELEY_CITATION_v3_eyJjaXRhdGlvbklEIjoiTUVOREVMRVlfQ0lUQVRJT05fYWU5YTQwNzgtMzFlNy00ZGMzLTk4MTEtY2I0OWMwNjVjMzM2IiwicHJvcGVydGllcyI6eyJub3RlSW5kZXgiOjB9LCJpc0VkaXRlZCI6ZmFsc2UsIm1hbnVhbE92ZXJyaWRlIjp7ImlzTWFudWFsbHlPdmVycmlkZGVuIjp0cnVlLCJjaXRlcHJvY1RleHQiOiIoVGFuICYjMzg7IEZsb3JvcywgMjAyMikiLCJtYW51YWxPdmVycmlkZVRleHQiOiJUYW4gJiBGbG9yb3MgKDIwMjIpIn0sImNpdGF0aW9uSXRlbXMiOlt7ImlkIjoiOTdhY2JmYTktMTc1ZS0zYjJjLThkMGQtZTAwMDIzMWRjNTgyIiwiaXRlbURhdGEiOnsidHlwZSI6ImFydGljbGUtam91cm5hbCIsImlkIjoiOTdhY2JmYTktMTc1ZS0zYjJjLThkMGQtZTAwMDIzMWRjNTgyIiwidGl0bGUiOiJCYW5rIFByb2ZpdGFiaWxpdHksIEludmVzdG1lbnQgT3Bwb3J0dW5pdHkgU2V0IGFuZCBMZXZlbCBvZiBHb3Zlcm5hbmNlOiBFdmlkZW5jZSBmcm9tIENoaW5hIiwiYXV0aG9yIjpbeyJmYW1pbHkiOiJUYW4iLCJnaXZlbiI6IllvbmciLCJwYXJzZS1uYW1lcyI6ZmFsc2UsImRyb3BwaW5nLXBhcnRpY2xlIjoiIiwibm9uLWRyb3BwaW5nLXBhcnRpY2xlIjoiIn0seyJmYW1pbHkiOiJGbG9yb3MiLCJnaXZlbiI6IkNocmlzdG9zIiwicGFyc2UtbmFtZXMiOmZhbHNlLCJkcm9wcGluZy1wYXJ0aWNsZSI6IiIsIm5vbi1kcm9wcGluZy1wYXJ0aWNsZSI6IiJ9XSwiY29udGFpbmVyLXRpdGxlIjoiUmV2aWV3IG9mIFF1YW50aXRhdGl2ZSBGaW5hbmNlIGFuZCBBY2NvdW50aW5nIiwiRE9JIjoiMTAuMTAwNy9zMTExNTYtMDIyLTAxMDc0LTIiLCJpc3N1ZWQiOnsiZGF0ZS1wYXJ0cyI6W1syMDIyXV19LCJwYWdlIjoiMTUyNy0xNTUxIiwicHVibGlzaGVyIjoiU3ByaW5nZXIiLCJpc3N1ZSI6IjQiLCJ2b2x1bWUiOiI1OSIsImNvbnRhaW5lci10aXRsZS1zaG9ydCI6IiJ9LCJpc1RlbXBvcmFyeSI6ZmFsc2V9XX0=&quot;,&quot;citationItems&quot;:[{&quot;id&quot;:&quot;97acbfa9-175e-3b2c-8d0d-e000231dc582&quot;,&quot;itemData&quot;:{&quot;type&quot;:&quot;article-journal&quot;,&quot;id&quot;:&quot;97acbfa9-175e-3b2c-8d0d-e000231dc582&quot;,&quot;title&quot;:&quot;Bank Profitability, Investment Opportunity Set and Level of Governance: Evidence from China&quot;,&quot;author&quot;:[{&quot;family&quot;:&quot;Tan&quot;,&quot;given&quot;:&quot;Yong&quot;,&quot;parse-names&quot;:false,&quot;dropping-particle&quot;:&quot;&quot;,&quot;non-dropping-particle&quot;:&quot;&quot;},{&quot;family&quot;:&quot;Floros&quot;,&quot;given&quot;:&quot;Christos&quot;,&quot;parse-names&quot;:false,&quot;dropping-particle&quot;:&quot;&quot;,&quot;non-dropping-particle&quot;:&quot;&quot;}],&quot;container-title&quot;:&quot;Review of Quantitative Finance and Accounting&quot;,&quot;DOI&quot;:&quot;10.1007/s11156-022-01074-2&quot;,&quot;issued&quot;:{&quot;date-parts&quot;:[[2022]]},&quot;page&quot;:&quot;1527-1551&quot;,&quot;publisher&quot;:&quot;Springer&quot;,&quot;issue&quot;:&quot;4&quot;,&quot;volume&quot;:&quot;59&quot;,&quot;container-title-short&quot;:&quot;&quot;},&quot;isTemporary&quot;:false}]},{&quot;citationID&quot;:&quot;MENDELEY_CITATION_d1ee7e57-1b49-4b90-afd7-21255cea05a4&quot;,&quot;properties&quot;:{&quot;noteIndex&quot;:0},&quot;isEdited&quot;:false,&quot;manualOverride&quot;:{&quot;isManuallyOverridden&quot;:true,&quot;citeprocText&quot;:&quot;(Lian et al., 2022)&quot;,&quot;manualOverrideText&quot;:&quot;Lian et al., 2022)&quot;},&quot;citationTag&quot;:&quot;MENDELEY_CITATION_v3_eyJjaXRhdGlvbklEIjoiTUVOREVMRVlfQ0lUQVRJT05fZDFlZTdlNTctMWI0OS00YjkwLWFmZDctMjEyNTVjZWEwNWE0IiwicHJvcGVydGllcyI6eyJub3RlSW5kZXgiOjB9LCJpc0VkaXRlZCI6ZmFsc2UsIm1hbnVhbE92ZXJyaWRlIjp7ImlzTWFudWFsbHlPdmVycmlkZGVuIjp0cnVlLCJjaXRlcHJvY1RleHQiOiIoTGlhbiBldCBhbC4sIDIwMjIpIiwibWFudWFsT3ZlcnJpZGVUZXh0IjoiTGlhbiBldCBhbC4sIDIwMjIpIn0sImNpdGF0aW9uSXRlbXMiOlt7ImlkIjoiNTViMGI1YzUtMGQzNS0zYzk3LWI2YmItM2QyYmFlNzU1MmJiIiwiaXRlbURhdGEiOnsidHlwZSI6ImFydGljbGUtam91cm5hbCIsImlkIjoiNTViMGI1YzUtMGQzNS0zYzk3LWI2YmItM2QyYmFlNzU1MmJiIiwidGl0bGUiOiJUaGUgSW1wYWN0IG9mIEdyZWVuIENyZWRpdCBvbiB0aGUgUHJvZml0YWJpbGl0eSBvZiBDb21tZXJjaWFsIEJhbmtzIGluIENoaW5hIiwiYXV0aG9yIjpbeyJmYW1pbHkiOiJMaWFuIiwiZ2l2ZW4iOiJZb25naHVpIiwicGFyc2UtbmFtZXMiOmZhbHNlLCJkcm9wcGluZy1wYXJ0aWNsZSI6IiIsIm5vbi1kcm9wcGluZy1wYXJ0aWNsZSI6IiJ9LHsiZmFtaWx5IjoiR2FvIiwiZ2l2ZW4iOiJKaWV5aW5nIiwicGFyc2UtbmFtZXMiOmZhbHNlLCJkcm9wcGluZy1wYXJ0aWNsZSI6IiIsIm5vbi1kcm9wcGluZy1wYXJ0aWNsZSI6IiJ9LHsiZmFtaWx5IjoiWWUiLCJnaXZlbiI6IlRhbyIsInBhcnNlLW5hbWVzIjpmYWxzZSwiZHJvcHBpbmctcGFydGljbGUiOiIiLCJub24tZHJvcHBpbmctcGFydGljbGUiOiIifV0sImNvbnRhaW5lci10aXRsZSI6IlN1c3RhaW5hYmlsaXR5IiwiY29udGFpbmVyLXRpdGxlLXNob3J0IjoiU3VzdGFpbmFiaWxpdHkiLCJET0kiOiIxMC4zMzkwL3N1MTQxNTk1MzEiLCJpc3N1ZWQiOnsiZGF0ZS1wYXJ0cyI6W1syMDIyXV19LCJwYWdlIjoiOTUzMSIsImlzc3VlIjoiMTUiLCJ2b2x1bWUiOiIxNCJ9LCJpc1RlbXBvcmFyeSI6ZmFsc2V9XX0=&quot;,&quot;citationItems&quot;:[{&quot;id&quot;:&quot;55b0b5c5-0d35-3c97-b6bb-3d2bae7552bb&quot;,&quot;itemData&quot;:{&quot;type&quot;:&quot;article-journal&quot;,&quot;id&quot;:&quot;55b0b5c5-0d35-3c97-b6bb-3d2bae7552bb&quot;,&quot;title&quot;:&quot;The Impact of Green Credit on the Profitability of Commercial Banks in China&quot;,&quot;author&quot;:[{&quot;family&quot;:&quot;Lian&quot;,&quot;given&quot;:&quot;Yonghui&quot;,&quot;parse-names&quot;:false,&quot;dropping-particle&quot;:&quot;&quot;,&quot;non-dropping-particle&quot;:&quot;&quot;},{&quot;family&quot;:&quot;Gao&quot;,&quot;given&quot;:&quot;Jieying&quot;,&quot;parse-names&quot;:false,&quot;dropping-particle&quot;:&quot;&quot;,&quot;non-dropping-particle&quot;:&quot;&quot;},{&quot;family&quot;:&quot;Ye&quot;,&quot;given&quot;:&quot;Tao&quot;,&quot;parse-names&quot;:false,&quot;dropping-particle&quot;:&quot;&quot;,&quot;non-dropping-particle&quot;:&quot;&quot;}],&quot;container-title&quot;:&quot;Sustainability&quot;,&quot;container-title-short&quot;:&quot;Sustainability&quot;,&quot;DOI&quot;:&quot;10.3390/su14159531&quot;,&quot;issued&quot;:{&quot;date-parts&quot;:[[2022]]},&quot;page&quot;:&quot;9531&quot;,&quot;issue&quot;:&quot;15&quot;,&quot;volume&quot;:&quot;14&quot;},&quot;isTemporary&quot;:false}]},{&quot;citationID&quot;:&quot;MENDELEY_CITATION_ae7f2966-2598-4b32-a7be-98399fcaed21&quot;,&quot;properties&quot;:{&quot;noteIndex&quot;:0},&quot;isEdited&quot;:false,&quot;manualOverride&quot;:{&quot;isManuallyOverridden&quot;:true,&quot;citeprocText&quot;:&quot;(Mirza &amp;#38; others, 2023)&quot;,&quot;manualOverrideText&quot;:&quot;(Mirza et al, 2023)&quot;},&quot;citationTag&quot;:&quot;MENDELEY_CITATION_v3_eyJjaXRhdGlvbklEIjoiTUVOREVMRVlfQ0lUQVRJT05fYWU3ZjI5NjYtMjU5OC00YjMyLWE3YmUtOTgzOTlmY2FlZDIxIiwicHJvcGVydGllcyI6eyJub3RlSW5kZXgiOjB9LCJpc0VkaXRlZCI6ZmFsc2UsIm1hbnVhbE92ZXJyaWRlIjp7ImlzTWFudWFsbHlPdmVycmlkZGVuIjp0cnVlLCJjaXRlcHJvY1RleHQiOiIoTWlyemEgJiMzODsgb3RoZXJzLCAyMDIzKSIsIm1hbnVhbE92ZXJyaWRlVGV4dCI6IihNaXJ6YSBldCBhbCwgMjAyMykifSwiY2l0YXRpb25JdGVtcyI6W3siaWQiOiIyYzQ5NDE4YS1jZTc1LTM0NTUtODNkYS1lZDkyMjM3ZmRmOGUiLCJpdGVtRGF0YSI6eyJ0eXBlIjoiYXJ0aWNsZS1qb3VybmFsIiwiaWQiOiIyYzQ5NDE4YS1jZTc1LTM0NTUtODNkYS1lZDkyMjM3ZmRmOGUiLCJ0aXRsZSI6IkdyZWVuIENyZWRpdCBhbmQgU01FIEZpbmFuY2luZyBpbiBCUklDIENvdW50cmllcyIsImF1dGhvciI6W3siZmFtaWx5IjoiTWlyemEiLCJnaXZlbiI6Ik5hd2F6aXNo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NdXX19LCJpc1RlbXBvcmFyeSI6ZmFsc2V9XX0=&quot;,&quot;citationItems&quot;:[{&quot;id&quot;:&quot;2c49418a-ce75-3455-83da-ed92237fdf8e&quot;,&quot;itemData&quot;:{&quot;type&quot;:&quot;article-journal&quot;,&quot;id&quot;:&quot;2c49418a-ce75-3455-83da-ed92237fdf8e&quot;,&quot;title&quot;:&quot;Green Credit and SME Financing in BRIC Countries&quot;,&quot;author&quot;:[{&quot;family&quot;:&quot;Mirza&quot;,&quot;given&quot;:&quot;Nawazish&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3]]}},&quot;isTemporary&quot;:false}]},{&quot;citationID&quot;:&quot;MENDELEY_CITATION_ac74accd-c0d8-4ad1-9087-bd27e9e3de38&quot;,&quot;properties&quot;:{&quot;noteIndex&quot;:0},&quot;isEdited&quot;:false,&quot;manualOverride&quot;:{&quot;isManuallyOverridden&quot;:true,&quot;citeprocText&quot;:&quot;(Nguyen et al., 2021)&quot;,&quot;manualOverrideText&quot;:&quot;Nguyen et al. (2021)&quot;},&quot;citationTag&quot;:&quot;MENDELEY_CITATION_v3_eyJjaXRhdGlvbklEIjoiTUVOREVMRVlfQ0lUQVRJT05fYWM3NGFjY2QtYzBkOC00YWQxLTkwODctYmQyN2U5ZTNkZTM4IiwicHJvcGVydGllcyI6eyJub3RlSW5kZXgiOjB9LCJpc0VkaXRlZCI6ZmFsc2UsIm1hbnVhbE92ZXJyaWRlIjp7ImlzTWFudWFsbHlPdmVycmlkZGVuIjp0cnVlLCJjaXRlcHJvY1RleHQiOiIoTmd1eWVuIGV0IGFsLiwgMjAyMSkiLCJtYW51YWxPdmVycmlkZVRleHQiOiJOZ3V5ZW4gZXQgYWwuICgyMDIxKSJ9LCJjaXRhdGlvbkl0ZW1zIjpbeyJpZCI6IjgxZDJhMzM1LWEyNjktMzI1Yy1hYTU5LWE3ZWM2NTkwNmFiMyIsIml0ZW1EYXRhIjp7InR5cGUiOiJhcnRpY2xlLWpvdXJuYWwiLCJpZCI6IjgxZDJhMzM1LWEyNjktMzI1Yy1hYTU5LWE3ZWM2NTkwNmFiMyIsInRpdGxlIjoiRW52aXJvbm1lbnRhbCBQZXJmb3JtYW5jZSwgU3VzdGFpbmFiaWxpdHksIEdvdmVybmFuY2UgYW5kIEZpbmFuY2lhbCBQZXJmb3JtYW5jZTogRXZpZGVuY2UgZnJvbSBIZWF2aWx5IFBvbGx1dGVkIEluZHVzdHJpZXMgaW4gQ2hpbmEiLCJhdXRob3IiOlt7ImZhbWlseSI6Ik5ndXllbiIsImdpdmVuIjoiVGhpIEhvbmcgSGFuaCIsInBhcnNlLW5hbWVzIjpmYWxzZSwiZHJvcHBpbmctcGFydGljbGUiOiIiLCJub24tZHJvcHBpbmctcGFydGljbGUiOiIifSx7ImZhbWlseSI6IkVsbWFncmhpIiwiZ2l2ZW4iOiJNb2hhbWVkIEgiLCJwYXJzZS1uYW1lcyI6ZmFsc2UsImRyb3BwaW5nLXBhcnRpY2xlIjoiIiwibm9uLWRyb3BwaW5nLXBhcnRpY2xlIjoiIn0seyJmYW1pbHkiOiJOdGltIiwiZ2l2ZW4iOiJDb2xsaW5zIEciLCJwYXJzZS1uYW1lcyI6ZmFsc2UsImRyb3BwaW5nLXBhcnRpY2xlIjoiIiwibm9uLWRyb3BwaW5nLXBhcnRpY2xlIjoiIn0seyJmYW1pbHkiOiJXdSIsImdpdmVuIjoiWXUiLCJwYXJzZS1uYW1lcyI6ZmFsc2UsImRyb3BwaW5nLXBhcnRpY2xlIjoiIiwibm9uLWRyb3BwaW5nLXBhcnRpY2xlIjoiIn1dLCJjb250YWluZXItdGl0bGUiOiJCdXNpbmVzcyBTdHJhdGVneSBhbmQgdGhlIEVudmlyb25tZW50IiwiY29udGFpbmVyLXRpdGxlLXNob3J0IjoiQnVzLiBTdHJhdGVneSBFbnZpcm9uLiIsIkRPSSI6IjEwLjEwMDIvYnNlLjI3NDgiLCJpc3N1ZWQiOnsiZGF0ZS1wYXJ0cyI6W1syMDIxXV19LCJwYWdlIjoiMjYwOC0yNjMwIiwicHVibGlzaGVyIjoiV2lsZXkiLCJpc3N1ZSI6IjYiLCJ2b2x1bWUiOiIzMCJ9LCJpc1RlbXBvcmFyeSI6ZmFsc2V9XX0=&quot;,&quot;citationItems&quot;:[{&quot;id&quot;:&quot;81d2a335-a269-325c-aa59-a7ec65906ab3&quot;,&quot;itemData&quot;:{&quot;type&quot;:&quot;article-journal&quot;,&quot;id&quot;:&quot;81d2a335-a269-325c-aa59-a7ec65906ab3&quot;,&quot;title&quot;:&quot;Environmental Performance, Sustainability, Governance and Financial Performance: Evidence from Heavily Polluted Industries in China&quot;,&quot;author&quot;:[{&quot;family&quot;:&quot;Nguyen&quot;,&quot;given&quot;:&quot;Thi Hong Hanh&quot;,&quot;parse-names&quot;:false,&quot;dropping-particle&quot;:&quot;&quot;,&quot;non-dropping-particle&quot;:&quot;&quot;},{&quot;family&quot;:&quot;Elmagrhi&quot;,&quot;given&quot;:&quot;Mohamed H&quot;,&quot;parse-names&quot;:false,&quot;dropping-particle&quot;:&quot;&quot;,&quot;non-dropping-particle&quot;:&quot;&quot;},{&quot;family&quot;:&quot;Ntim&quot;,&quot;given&quot;:&quot;Collins G&quot;,&quot;parse-names&quot;:false,&quot;dropping-particle&quot;:&quot;&quot;,&quot;non-dropping-particle&quot;:&quot;&quot;},{&quot;family&quot;:&quot;Wu&quot;,&quot;given&quot;:&quot;Yu&quot;,&quot;parse-names&quot;:false,&quot;dropping-particle&quot;:&quot;&quot;,&quot;non-dropping-particle&quot;:&quot;&quot;}],&quot;container-title&quot;:&quot;Business Strategy and the Environment&quot;,&quot;container-title-short&quot;:&quot;Bus. Strategy Environ.&quot;,&quot;DOI&quot;:&quot;10.1002/bse.2748&quot;,&quot;issued&quot;:{&quot;date-parts&quot;:[[2021]]},&quot;page&quot;:&quot;2608-2630&quot;,&quot;publisher&quot;:&quot;Wiley&quot;,&quot;issue&quot;:&quot;6&quot;,&quot;volume&quot;:&quot;30&quot;},&quot;isTemporary&quot;:false}]},{&quot;citationID&quot;:&quot;MENDELEY_CITATION_e1c628c2-fcc9-4018-8e48-c2c85b196fb1&quot;,&quot;properties&quot;:{&quot;noteIndex&quot;:0},&quot;isEdited&quot;:false,&quot;manualOverride&quot;:{&quot;isManuallyOverridden&quot;:true,&quot;citeprocText&quot;:&quot;(Ozili, 2022)&quot;,&quot;manualOverrideText&quot;:&quot;Ozili (2022)&quot;},&quot;citationTag&quot;:&quot;MENDELEY_CITATION_v3_eyJjaXRhdGlvbklEIjoiTUVOREVMRVlfQ0lUQVRJT05fZTFjNjI4YzItZmNjOS00MDE4LThlNDgtYzJjODViMTk2ZmIxIiwicHJvcGVydGllcyI6eyJub3RlSW5kZXgiOjB9LCJpc0VkaXRlZCI6ZmFsc2UsIm1hbnVhbE92ZXJyaWRlIjp7ImlzTWFudWFsbHlPdmVycmlkZGVuIjp0cnVlLCJjaXRlcHJvY1RleHQiOiIoT3ppbGksIDIwMjIpIiwibWFudWFsT3ZlcnJpZGVUZXh0IjoiT3ppbGkgKDIwMjIpIn0sImNpdGF0aW9uSXRlbXMiOlt7ImlkIjoiOWFiZDIzMWYtNjk0ZC0zYWRhLTkyN2EtOTg4MjA1NDRlYTQzIiwiaXRlbURhdGEiOnsidHlwZSI6ImFydGljbGUtam91cm5hbCIsImlkIjoiOWFiZDIzMWYtNjk0ZC0zYWRhLTkyN2EtOTg4MjA1NDRlYTQzIiwidGl0bGUiOiJTdXN0YWluYWJpbGl0eSBhbmQgU3VzdGFpbmFibGUgRGV2ZWxvcG1lbnQgUmVzZWFyY2ggQXJvdW5kIHRoZSBXb3JsZCIsImF1dGhvciI6W3siZmFtaWx5IjoiT3ppbGkiLCJnaXZlbiI6IlBldGVyc29uIEsiLCJwYXJzZS1uYW1lcyI6ZmFsc2UsImRyb3BwaW5nLXBhcnRpY2xlIjoiIiwibm9uLWRyb3BwaW5nLXBhcnRpY2xlIjoiIn1dLCJjb250YWluZXItdGl0bGUiOiJNYW5hZ2luZyBHbG9iYWwgVHJhbnNpdGlvbnMiLCJET0kiOiIxMC4yNjQ5My8xODU0LTY5MzUuMjAuMjU5LTI4MyIsImlzc3VlZCI6eyJkYXRlLXBhcnRzIjpbWzIwMjJdXX0sInBhZ2UiOiIyNTktMjgzIiwicHVibGlzaGVyIjoiVW5pdmVyc2l0eSBvZiBQcmltb3Jza2EgUHJlc3MiLCJpc3N1ZSI6IjMiLCJ2b2x1bWUiOiIyMCIsImNvbnRhaW5lci10aXRsZS1zaG9ydCI6IiJ9LCJpc1RlbXBvcmFyeSI6ZmFsc2V9XX0=&quot;,&quot;citationItems&quot;:[{&quot;id&quot;:&quot;9abd231f-694d-3ada-927a-98820544ea43&quot;,&quot;itemData&quot;:{&quot;type&quot;:&quot;article-journal&quot;,&quot;id&quot;:&quot;9abd231f-694d-3ada-927a-98820544ea43&quot;,&quot;title&quot;:&quot;Sustainability and Sustainable Development Research Around the World&quot;,&quot;author&quot;:[{&quot;family&quot;:&quot;Ozili&quot;,&quot;given&quot;:&quot;Peterson K&quot;,&quot;parse-names&quot;:false,&quot;dropping-particle&quot;:&quot;&quot;,&quot;non-dropping-particle&quot;:&quot;&quot;}],&quot;container-title&quot;:&quot;Managing Global Transitions&quot;,&quot;DOI&quot;:&quot;10.26493/1854-6935.20.259-283&quot;,&quot;issued&quot;:{&quot;date-parts&quot;:[[2022]]},&quot;page&quot;:&quot;259-283&quot;,&quot;publisher&quot;:&quot;University of Primorska Press&quot;,&quot;issue&quot;:&quot;3&quot;,&quot;volume&quot;:&quot;20&quot;,&quot;container-title-short&quot;:&quot;&quot;},&quot;isTemporary&quot;:false}]},{&quot;citationID&quot;:&quot;MENDELEY_CITATION_4329a2a4-f7df-40b9-bae8-fd17393b4db6&quot;,&quot;properties&quot;:{&quot;noteIndex&quot;:0},&quot;isEdited&quot;:false,&quot;manualOverride&quot;:{&quot;isManuallyOverridden&quot;:true,&quot;citeprocText&quot;:&quot;(Cui et al., 2018)&quot;,&quot;manualOverrideText&quot;:&quot;Cui et al. (2018)&quot;},&quot;citationTag&quot;:&quot;MENDELEY_CITATION_v3_eyJjaXRhdGlvbklEIjoiTUVOREVMRVlfQ0lUQVRJT05fNDMyOWEyYTQtZjdkZi00MGI5LWJhZTgtZmQxNzM5M2I0ZGI2IiwicHJvcGVydGllcyI6eyJub3RlSW5kZXgiOjB9LCJpc0VkaXRlZCI6ZmFsc2UsIm1hbnVhbE92ZXJyaWRlIjp7ImlzTWFudWFsbHlPdmVycmlkZGVuIjp0cnVlLCJjaXRlcHJvY1RleHQiOiIoQ3VpIGV0IGFsLiwgMjAxOCkiLCJtYW51YWxPdmVycmlkZVRleHQiOiJDdWkgZXQgYWwuICgyMDE4KSJ9LCJjaXRhdGlvbkl0ZW1zIjpbeyJpZCI6IjFkMmE2YjljLTFhZjAtM2NiNi1hYzc0LTEwZjVlNTA3MjM2MCIsIml0ZW1EYXRhIjp7InR5cGUiOiJhcnRpY2xlLWpvdXJuYWwiLCJpZCI6IjFkMmE2YjljLTFhZjAtM2NiNi1hYzc0LTEwZjVlNTA3MjM2MCIsInRpdGxlIjoiVGhlIEltcGFjdCBvZiBHcmVlbiBMZW5kaW5nIG9uIENyZWRpdCBSaXNrIGluIENoaW5hIiwiYXV0aG9yIjpbeyJmYW1pbHkiOiJDdWkiLCJnaXZlbiI6Ill1anVuIiwicGFyc2UtbmFtZXMiOmZhbHNlLCJkcm9wcGluZy1wYXJ0aWNsZSI6IiIsIm5vbi1kcm9wcGluZy1wYXJ0aWNsZSI6IiJ9LHsiZmFtaWx5IjoiR2VvYmV5IiwiZ2l2ZW4iOiJTZWFuIiwicGFyc2UtbmFtZXMiOmZhbHNlLCJkcm9wcGluZy1wYXJ0aWNsZSI6IiIsIm5vbi1kcm9wcGluZy1wYXJ0aWNsZSI6IiJ9LHsiZmFtaWx5IjoiV2ViZXIiLCJnaXZlbiI6Ik9sYWYiLCJwYXJzZS1uYW1lcyI6ZmFsc2UsImRyb3BwaW5nLXBhcnRpY2xlIjoiIiwibm9uLWRyb3BwaW5nLXBhcnRpY2xlIjoiIn0seyJmYW1pbHkiOiJMaW4iLCJnaXZlbiI6IkhhaXlpbmciLCJwYXJzZS1uYW1lcyI6ZmFsc2UsImRyb3BwaW5nLXBhcnRpY2xlIjoiIiwibm9uLWRyb3BwaW5nLXBhcnRpY2xlIjoiIn1dLCJjb250YWluZXItdGl0bGUiOiJTdXN0YWluYWJpbGl0eSIsImNvbnRhaW5lci10aXRsZS1zaG9ydCI6IlN1c3RhaW5hYmlsaXR5IiwiRE9JIjoiMTAuMzM5MC9zdTEwMDYyMDA4IiwiaXNzdWVkIjp7ImRhdGUtcGFydHMiOltbMjAxOF1dfSwicGFnZSI6IjIwMDgiLCJwdWJsaXNoZXIiOiJNRFBJIiwiaXNzdWUiOiI2Iiwidm9sdW1lIjoiMTAifSwiaXNUZW1wb3JhcnkiOmZhbHNlfV19&quot;,&quot;citationItems&quot;:[{&quot;id&quot;:&quot;1d2a6b9c-1af0-3cb6-ac74-10f5e5072360&quot;,&quot;itemData&quot;:{&quot;type&quot;:&quot;article-journal&quot;,&quot;id&quot;:&quot;1d2a6b9c-1af0-3cb6-ac74-10f5e5072360&quot;,&quot;title&quot;:&quot;The Impact of Green Lending on Credit Risk in China&quot;,&quot;author&quot;:[{&quot;family&quot;:&quot;Cui&quot;,&quot;given&quot;:&quot;Yujun&quot;,&quot;parse-names&quot;:false,&quot;dropping-particle&quot;:&quot;&quot;,&quot;non-dropping-particle&quot;:&quot;&quot;},{&quot;family&quot;:&quot;Geobey&quot;,&quot;given&quot;:&quot;Sean&quot;,&quot;parse-names&quot;:false,&quot;dropping-particle&quot;:&quot;&quot;,&quot;non-dropping-particle&quot;:&quot;&quot;},{&quot;family&quot;:&quot;Weber&quot;,&quot;given&quot;:&quot;Olaf&quot;,&quot;parse-names&quot;:false,&quot;dropping-particle&quot;:&quot;&quot;,&quot;non-dropping-particle&quot;:&quot;&quot;},{&quot;family&quot;:&quot;Lin&quot;,&quot;given&quot;:&quot;Haiying&quot;,&quot;parse-names&quot;:false,&quot;dropping-particle&quot;:&quot;&quot;,&quot;non-dropping-particle&quot;:&quot;&quot;}],&quot;container-title&quot;:&quot;Sustainability&quot;,&quot;container-title-short&quot;:&quot;Sustainability&quot;,&quot;DOI&quot;:&quot;10.3390/su10062008&quot;,&quot;issued&quot;:{&quot;date-parts&quot;:[[2018]]},&quot;page&quot;:&quot;2008&quot;,&quot;publisher&quot;:&quot;MDPI&quot;,&quot;issue&quot;:&quot;6&quot;,&quot;volume&quot;:&quot;10&quot;},&quot;isTemporary&quot;:false}]},{&quot;citationID&quot;:&quot;MENDELEY_CITATION_3253828f-15d6-4726-bb32-c50dc25dd648&quot;,&quot;properties&quot;:{&quot;noteIndex&quot;:0},&quot;isEdited&quot;:false,&quot;manualOverride&quot;:{&quot;isManuallyOverridden&quot;:true,&quot;citeprocText&quot;:&quot;(Zhang, 2021)&quot;,&quot;manualOverrideText&quot;:&quot;Zhang (2021)&quot;},&quot;citationTag&quot;:&quot;MENDELEY_CITATION_v3_eyJjaXRhdGlvbklEIjoiTUVOREVMRVlfQ0lUQVRJT05fMzI1MzgyOGYtMTVkNi00NzI2LWJiMzItYzUwZGMyNWRkNjQ4IiwicHJvcGVydGllcyI6eyJub3RlSW5kZXgiOjB9LCJpc0VkaXRlZCI6ZmFsc2UsIm1hbnVhbE92ZXJyaWRlIjp7ImlzTWFudWFsbHlPdmVycmlkZGVuIjp0cnVlLCJjaXRlcHJvY1RleHQiOiIoWmhhbmcsIDIwMjEpIiwibWFudWFsT3ZlcnJpZGVUZXh0IjoiWmhhbmcgKDIwMjEpIn0sImNpdGF0aW9uSXRlbXMiOlt7ImlkIjoiZTUxYTk1NmYtMDA3MS0zZjQ1LWE4NjItN2QwOTRhN2E4M2M2IiwiaXRlbURhdGEiOnsidHlwZSI6ImFydGljbGUtam91cm5hbCIsImlkIjoiZTUxYTk1NmYtMDA3MS0zZjQ1LWE4NjItN2QwOTRhN2E4M2M2IiwidGl0bGUiOiJUaGUgY2F1c2FsIGVmZmVjdCBvbiBmaXJtIHBlcmZvcm1hbmNlIG9mIENoaW5hJ3MgZmluYW5jaW5n4oCTcG9sbHV0aW9uIGVtaXNzaW9uIHJlZHVjdGlvbiBwb2xpY3k6IEZpcm0tbGV2ZWwgZXZpZGVuY2UiLCJhdXRob3IiOlt7ImZhbWlseSI6IlpoYW5nIiwiZ2l2ZW4iOiJEIiwicGFyc2UtbmFtZXMiOmZhbHNlLCJkcm9wcGluZy1wYXJ0aWNsZSI6IiIsIm5vbi1kcm9wcGluZy1wYXJ0aWNsZSI6IiJ9XSwiY29udGFpbmVyLXRpdGxlIjoiSm91cm5hbCBvZiBFbnZpcm9ubWVudGFsIE1hbmFnZW1lbnQiLCJjb250YWluZXItdGl0bGUtc2hvcnQiOiJKLiBFbnZpcm9uLiBNYW5hZ2UuIiwiRE9JIjoiMTAuMTAxNi9qLmplbnZtYW4uMjAyMC4xMTE2MDkiLCJJU1NOIjoiMDMwMS00Nzk3IiwiVVJMIjoiaHR0cHM6Ly9hcGkuZWxzZXZpZXIuY29tL2NvbnRlbnQvYXJ0aWNsZS9laWQvMS1zMi4wLVMwMzAxNDc5NzIwMzE1MzQ2IiwiaXNzdWVkIjp7ImRhdGUtcGFydHMiOltbMjAyMV1dfSwidm9sdW1lIjoiMjc5In0sImlzVGVtcG9yYXJ5IjpmYWxzZX1dfQ==&quot;,&quot;citationItems&quot;:[{&quot;id&quot;:&quot;e51a956f-0071-3f45-a862-7d094a7a83c6&quot;,&quot;itemData&quot;:{&quot;type&quot;:&quot;article-journal&quot;,&quot;id&quot;:&quot;e51a956f-0071-3f45-a862-7d094a7a83c6&quot;,&quot;title&quot;:&quot;The causal effect on firm performance of China's financing–pollution emission reduction policy: Firm-level evidence&quot;,&quot;author&quot;:[{&quot;family&quot;:&quot;Zhang&quot;,&quot;given&quot;:&quot;D&quot;,&quot;parse-names&quot;:false,&quot;dropping-particle&quot;:&quot;&quot;,&quot;non-dropping-particle&quot;:&quot;&quot;}],&quot;container-title&quot;:&quot;Journal of Environmental Management&quot;,&quot;container-title-short&quot;:&quot;J. Environ. Manage.&quot;,&quot;DOI&quot;:&quot;10.1016/j.jenvman.2020.111609&quot;,&quot;ISSN&quot;:&quot;0301-4797&quot;,&quot;URL&quot;:&quot;https://api.elsevier.com/content/article/eid/1-s2.0-S0301479720315346&quot;,&quot;issued&quot;:{&quot;date-parts&quot;:[[2021]]},&quot;volume&quot;:&quot;279&quot;},&quot;isTemporary&quot;:false}]},{&quot;citationID&quot;:&quot;MENDELEY_CITATION_ac237ef5-e548-4a81-bd86-25d83616f489&quot;,&quot;properties&quot;:{&quot;noteIndex&quot;:0},&quot;isEdited&quot;:false,&quot;manualOverride&quot;:{&quot;isManuallyOverridden&quot;:true,&quot;citeprocText&quot;:&quot;(Adegbite &amp;#38; Olanipekun, 2024)&quot;,&quot;manualOverrideText&quot;:&quot;Adegbite &amp; Olanipekun (2024)&quot;},&quot;citationTag&quot;:&quot;MENDELEY_CITATION_v3_eyJjaXRhdGlvbklEIjoiTUVOREVMRVlfQ0lUQVRJT05fYWMyMzdlZjUtZTU0OC00YTgxLWJkODYtMjVkODM2MTZmNDg5IiwicHJvcGVydGllcyI6eyJub3RlSW5kZXgiOjB9LCJpc0VkaXRlZCI6ZmFsc2UsIm1hbnVhbE92ZXJyaWRlIjp7ImlzTWFudWFsbHlPdmVycmlkZGVuIjp0cnVlLCJjaXRlcHJvY1RleHQiOiIoQWRlZ2JpdGUgJiMzODsgT2xhbmlwZWt1biwgMjAyNCkiLCJtYW51YWxPdmVycmlkZVRleHQiOiJBZGVnYml0ZSAmIE9sYW5pcGVrdW4gKDIwMjQpIn0sImNpdGF0aW9uSXRlbXMiOlt7ImlkIjoiZjVhMzU4ZGQtMDA4MS0zMDBmLWE3OTAtN2VmM2U0M2VkOGNjIiwiaXRlbURhdGEiOnsidHlwZSI6ImFydGljbGUtam91cm5hbCIsImlkIjoiZjVhMzU4ZGQtMDA4MS0zMDBmLWE3OTAtN2VmM2U0M2VkOGNjIiwidGl0bGUiOiJHcmVlbiBDcmVkaXQgQWRvcHRpb24gYW5kIEZpbmFuY2lhbCBQZXJmb3JtYW5jZTogRXZpZGVuY2UgZnJvbSBBZnJpY2FuIEJhbmtzIiwiYXV0aG9yIjpbeyJmYW1pbHkiOiJBZGVnYml0ZSIsImdpdmVuIjoiT2x1d2F0b3NpbiIsInBhcnNlLW5hbWVzIjpmYWxzZSwiZHJvcHBpbmctcGFydGljbGUiOiIiLCJub24tZHJvcHBpbmctcGFydGljbGUiOiIifSx7ImZhbWlseSI6Ik9sYW5pcGVrdW4iLCJnaXZlbiI6IkF5b2t1bmxlIiwicGFyc2UtbmFtZXMiOmZhbHNlLCJkcm9wcGluZy1wYXJ0aWNsZSI6IiIsIm5vbi1kcm9wcGluZy1wYXJ0aWNsZSI6IiJ9XSwiY29udGFpbmVyLXRpdGxlIjoiSm91cm5hbCBvZiBBZnJpY2FuIEJ1c2luZXNzIiwiRE9JIjoiMTAuMTA4MC8xNTIyODkxNi4yMDIzLjIxODk0MTIiLCJpc3N1ZWQiOnsiZGF0ZS1wYXJ0cyI6W1syMDI0XV19LCJwYWdlIjoiMTg3LTIxMCIsInB1Ymxpc2hlciI6IlRheWxvciAmIEZyYW5jaXMiLCJpc3N1ZSI6IjIiLCJ2b2x1bWUiOiIyNSIsImNvbnRhaW5lci10aXRsZS1zaG9ydCI6IiJ9LCJpc1RlbXBvcmFyeSI6ZmFsc2V9XX0=&quot;,&quot;citationItems&quot;:[{&quot;id&quot;:&quot;f5a358dd-0081-300f-a790-7ef3e43ed8cc&quot;,&quot;itemData&quot;:{&quot;type&quot;:&quot;article-journal&quot;,&quot;id&quot;:&quot;f5a358dd-0081-300f-a790-7ef3e43ed8cc&quot;,&quot;title&quot;:&quot;Green Credit Adoption and Financial Performance: Evidence from African Banks&quot;,&quot;author&quot;:[{&quot;family&quot;:&quot;Adegbite&quot;,&quot;given&quot;:&quot;Oluwatosin&quot;,&quot;parse-names&quot;:false,&quot;dropping-particle&quot;:&quot;&quot;,&quot;non-dropping-particle&quot;:&quot;&quot;},{&quot;family&quot;:&quot;Olanipekun&quot;,&quot;given&quot;:&quot;Ayokunle&quot;,&quot;parse-names&quot;:false,&quot;dropping-particle&quot;:&quot;&quot;,&quot;non-dropping-particle&quot;:&quot;&quot;}],&quot;container-title&quot;:&quot;Journal of African Business&quot;,&quot;DOI&quot;:&quot;10.1080/15228916.2023.2189412&quot;,&quot;issued&quot;:{&quot;date-parts&quot;:[[2024]]},&quot;page&quot;:&quot;187-210&quot;,&quot;publisher&quot;:&quot;Taylor &amp; Francis&quot;,&quot;issue&quot;:&quot;2&quot;,&quot;volume&quot;:&quot;25&quot;,&quot;container-title-short&quot;:&quot;&quot;},&quot;isTemporary&quot;:false}]},{&quot;citationID&quot;:&quot;MENDELEY_CITATION_154a0ee5-6ba9-4bfb-911d-4a107d75be9e&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MTU0YTBlZTUtNmJhOS00YmZiLTkxMWQtNGExMDdkNzViZTllIiwicHJvcGVydGllcyI6eyJub3RlSW5kZXgiOjB9LCJpc0VkaXRlZCI6ZmFsc2UsIm1hbnVhbE92ZXJyaWRlIjp7ImlzTWFudWFsbHlPdmVycmlkZGVuIjp0cnVlLCJjaXRlcHJvY1RleHQiOiIoU3V0cmlzbm8gJiMzODsgb3RoZXJzLCAyMDI0KSIsIm1hbnVhbE92ZXJyaWRlVGV4dCI6IlN1dHJpc25vIGV0IGFsLCAyMDI0KSJ9LCJjaXRhdGlvbkl0ZW1zIjpbeyJpZCI6IjhkN2IzYWExLTI4MjQtMzJmZi1iYjI0LWFkYzBmZWFmNjBjNyIsIml0ZW1EYXRhIjp7InR5cGUiOiJhcnRpY2xlLWpvdXJuYWwiLCJpZCI6IjhkN2IzYWExLTI4MjQtMzJmZi1iYjI0LWFkYzBmZWFmNjBjNyIsInRpdGxlIjoiVGhlIEVmZmVjdCBvZiBHcmVlbiBDcmVkaXQgUmF0aW8gb24gQmFuayBQcm9maXRhYmlsaXR5IGluIEluZG9uZXNpYSIsImF1dGhvciI6W3siZmFtaWx5IjoiU3V0cmlzbm8iLCJnaXZlbiI6IlMiLCJwYXJzZS1uYW1lcyI6ZmFsc2UsImRyb3BwaW5nLXBhcnRpY2xlIjoiIiwibm9uLWRyb3BwaW5nLXBhcnRpY2xlIjoiIn0seyJmYW1pbHkiOiJvdGhlcnMiLCJnaXZlbiI6IiIsInBhcnNlLW5hbWVzIjpmYWxzZSwiZHJvcHBpbmctcGFydGljbGUiOiIiLCJub24tZHJvcHBpbmctcGFydGljbGUiOiIifV0sImNvbnRhaW5lci10aXRsZSI6Ikp1cm5hbCBLZXVhbmdhbiBkYW4gUGVyYmFua2FuIiwiaXNzdWVkIjp7ImRhdGUtcGFydHMiOltbMjAyNF1dfSwiY29udGFpbmVyLXRpdGxlLXNob3J0IjoiIn0sImlzVGVtcG9yYXJ5IjpmYWxzZX1dfQ==&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b963cec2-ee5f-4fe7-923a-70854d908f00&quot;,&quot;properties&quot;:{&quot;noteIndex&quot;:0},&quot;isEdited&quot;:false,&quot;manualOverride&quot;:{&quot;isManuallyOverridden&quot;:true,&quot;citeprocText&quot;:&quot;(R. S. Riyanti, 2025)&quot;,&quot;manualOverrideText&quot;:&quot;(Riyanti, 2025)&quot;},&quot;citationTag&quot;:&quot;MENDELEY_CITATION_v3_eyJjaXRhdGlvbklEIjoiTUVOREVMRVlfQ0lUQVRJT05fYjk2M2NlYzItZWU1Zi00ZmU3LTkyM2EtNzA4NTRkOTA4ZjAwIiwicHJvcGVydGllcyI6eyJub3RlSW5kZXgiOjB9LCJpc0VkaXRlZCI6ZmFsc2UsIm1hbnVhbE92ZXJyaWRlIjp7ImlzTWFudWFsbHlPdmVycmlkZGVuIjp0cnVlLCJjaXRlcHJvY1RleHQiOiIoUi4gUy4gUml5YW50aSwgMjAyNSkiLCJtYW51YWxPdmVycmlkZVRleHQiOiIoUml5YW50aSwgMjAyNSkifSwiY2l0YXRpb25JdGVtcyI6W3siaWQiOiJhZjk1NzVjZC0yNTMwLTNiMzItOTUxNy05NGYzZGE1NzhkOTgiLCJpdGVtRGF0YSI6eyJ0eXBlIjoiYXJ0aWNsZS1qb3VybmFsIiwiaWQiOiJhZjk1NzVjZC0yNTMwLTNiMzItOTUxNy05NGYzZGE1NzhkOTgiLCJ0aXRsZSI6IkdyZWVuIGxvYW5zOiBOYXZpZ2F0aW5nIHRoZSBwYXRoIHRvIHN1c3RhaW5hYmxlIHByb2ZpdGFiaWxpdHkgaW4gYmFua2luZyIsImF1dGhvciI6W3siZmFtaWx5IjoiUml5YW50aSIsImdpdmVuIjoiUiBTIiwicGFyc2UtbmFtZXMiOmZhbHNlLCJkcm9wcGluZy1wYXJ0aWNsZSI6IiIsIm5vbi1kcm9wcGluZy1wYXJ0aWNsZSI6IiJ9XSwiY29udGFpbmVyLXRpdGxlIjoiRWNvbm9taWMgQW5hbHlzaXMgYW5kIFBvbGljeSIsImNvbnRhaW5lci10aXRsZS1zaG9ydCI6IkVjb24uIEFuYWwuIFBvbGljeSIsIkRPSSI6IjEwLjEwMTYvai5lYXAuMjAyNS4wMS4wMjgiLCJJU1NOIjoiMjIwNC0yMjk2IiwiVVJMIjoiaHR0cHM6Ly9hcGkuZWxzZXZpZXIuY29tL2NvbnRlbnQvYXJ0aWNsZS9laWQvMS1zMi4wLVMwMzEzNTkyNjI1MDAwMjgxIiwiaXNzdWVkIjp7ImRhdGUtcGFydHMiOltbMjAyNV1dfSwicGFnZSI6IjE2MTMtMTYyNCIsInZvbHVtZSI6Ijg1In0sImlzVGVtcG9yYXJ5IjpmYWxzZX1dfQ==&quot;,&quot;citationItems&quot;:[{&quot;id&quot;:&quot;af9575cd-2530-3b32-9517-94f3da578d98&quot;,&quot;itemData&quot;:{&quot;type&quot;:&quot;article-journal&quot;,&quot;id&quot;:&quot;af9575cd-2530-3b32-9517-94f3da578d98&quot;,&quot;title&quot;:&quot;Green loans: Navigating the path to sustainable profitability in banking&quot;,&quot;author&quot;:[{&quot;family&quot;:&quot;Riyanti&quot;,&quot;given&quot;:&quot;R S&quot;,&quot;parse-names&quot;:false,&quot;dropping-particle&quot;:&quot;&quot;,&quot;non-dropping-particle&quot;:&quot;&quot;}],&quot;container-title&quot;:&quot;Economic Analysis and Policy&quot;,&quot;container-title-short&quot;:&quot;Econ. Anal. Policy&quot;,&quot;DOI&quot;:&quot;10.1016/j.eap.2025.01.028&quot;,&quot;ISSN&quot;:&quot;2204-2296&quot;,&quot;URL&quot;:&quot;https://api.elsevier.com/content/article/eid/1-s2.0-S0313592625000281&quot;,&quot;issued&quot;:{&quot;date-parts&quot;:[[2025]]},&quot;page&quot;:&quot;1613-1624&quot;,&quot;volume&quot;:&quot;85&quot;},&quot;isTemporary&quot;:false}]},{&quot;citationID&quot;:&quot;MENDELEY_CITATION_167ba235-5714-4260-94d6-802ef381665a&quot;,&quot;properties&quot;:{&quot;noteIndex&quot;:0},&quot;isEdited&quot;:false,&quot;manualOverride&quot;:{&quot;isManuallyOverridden&quot;:true,&quot;citeprocText&quot;:&quot;(Fata &amp;#38; Arifin, 2024)&quot;,&quot;manualOverrideText&quot;:&quot;Fata &amp; Arifin, 2024&quot;},&quot;citationTag&quot;:&quot;MENDELEY_CITATION_v3_eyJjaXRhdGlvbklEIjoiTUVOREVMRVlfQ0lUQVRJT05fMTY3YmEyMzUtNTcxNC00MjYwLTk0ZDYtODAyZWYzODE2NjVhIiwicHJvcGVydGllcyI6eyJub3RlSW5kZXgiOjB9LCJpc0VkaXRlZCI6ZmFsc2UsIm1hbnVhbE92ZXJyaWRlIjp7ImlzTWFudWFsbHlPdmVycmlkZGVuIjp0cnVlLCJjaXRlcHJvY1RleHQiOiIoRmF0YSAmIzM4OyBBcmlmaW4sIDIwMjQpIiwibWFudWFsT3ZlcnJpZGVUZXh0IjoiRmF0YSAmIEFyaWZpbiwgMjAyNCJ9LCJjaXRhdGlvbkl0ZW1zIjpbeyJpZCI6IjJkYjYzZTExLTBiYTgtM2JhYi04OThjLTBjYmE5Y2IxYThhMCIsIml0ZW1EYXRhIjp7InR5cGUiOiJhcnRpY2xlLWpvdXJuYWwiLCJpZCI6IjJkYjYzZTExLTBiYTgtM2JhYi04OThjLTBjYmE5Y2IxYThhMCIsInRpdGxlIjoiR3JlZW4gQ3JlZGl0IGFuZCBCYW5raW5nIFByb2ZpdGFiaWxpdHk6IEEgU3ViZ3JvdXAgQW5hbHlzaXMgb2YgSW5kb25lc2lhbiBCYW5rcyIsImF1dGhvciI6W3siZmFtaWx5IjoiRmF0YSIsImdpdmVuIjoiQSIsInBhcnNlLW5hbWVzIjpmYWxzZSwiZHJvcHBpbmctcGFydGljbGUiOiIiLCJub24tZHJvcHBpbmctcGFydGljbGUiOiIifSx7ImZhbWlseSI6IkFyaWZpbiIsImdpdmVuIjoiQSIsInBhcnNlLW5hbWVzIjpmYWxzZSwiZHJvcHBpbmctcGFydGljbGUiOiIiLCJub24tZHJvcHBpbmctcGFydGljbGUiOiIifV0sImNvbnRhaW5lci10aXRsZSI6IkluZG9uZXNpYW4gSm91cm5hbCBvZiBCYW5raW5nIGFuZCBGaW5hbmNpYWwgU3R1ZGllcyIsImlzc3VlZCI6eyJkYXRlLXBhcnRzIjpbWzIwMjRdXX0sImNvbnRhaW5lci10aXRsZS1zaG9ydCI6IiJ9LCJpc1RlbXBvcmFyeSI6ZmFsc2V9XX0=&quot;,&quot;citationItems&quot;:[{&quot;id&quot;:&quot;2db63e11-0ba8-3bab-898c-0cba9cb1a8a0&quot;,&quot;itemData&quot;:{&quot;type&quot;:&quot;article-journal&quot;,&quot;id&quot;:&quot;2db63e11-0ba8-3bab-898c-0cba9cb1a8a0&quot;,&quot;title&quot;:&quot;Green Credit and Banking Profitability: A Subgroup Analysis of Indonesian Banks&quot;,&quot;author&quot;:[{&quot;family&quot;:&quot;Fata&quot;,&quot;given&quot;:&quot;A&quot;,&quot;parse-names&quot;:false,&quot;dropping-particle&quot;:&quot;&quot;,&quot;non-dropping-particle&quot;:&quot;&quot;},{&quot;family&quot;:&quot;Arifin&quot;,&quot;given&quot;:&quot;A&quot;,&quot;parse-names&quot;:false,&quot;dropping-particle&quot;:&quot;&quot;,&quot;non-dropping-particle&quot;:&quot;&quot;}],&quot;container-title&quot;:&quot;Indonesian Journal of Banking and Financial Studies&quot;,&quot;issued&quot;:{&quot;date-parts&quot;:[[2024]]},&quot;container-title-short&quot;:&quot;&quot;},&quot;isTemporary&quot;:false}]},{&quot;citationID&quot;:&quot;MENDELEY_CITATION_5308ed6c-2715-4301-9d0c-586458c0b498&quot;,&quot;properties&quot;:{&quot;noteIndex&quot;:0},&quot;isEdited&quot;:false,&quot;manualOverride&quot;:{&quot;isManuallyOverridden&quot;:true,&quot;citeprocText&quot;:&quot;(Berger &amp;#38; DeYoung, 1997)&quot;,&quot;manualOverrideText&quot;:&quot;(Berger &amp; DeYoung, 1997&quot;},&quot;citationTag&quot;:&quot;MENDELEY_CITATION_v3_eyJjaXRhdGlvbklEIjoiTUVOREVMRVlfQ0lUQVRJT05fNTMwOGVkNmMtMjcxNS00MzAxLTlkMGMtNTg2NDU4YzBiNDk4IiwicHJvcGVydGllcyI6eyJub3RlSW5kZXgiOjB9LCJpc0VkaXRlZCI6ZmFsc2UsIm1hbnVhbE92ZXJyaWRlIjp7ImlzTWFudWFsbHlPdmVycmlkZGVuIjp0cnVlLCJjaXRlcHJvY1RleHQiOiIoQmVyZ2VyICYjMzg7IERlWW91bmcsIDE5OTcpIiwibWFudWFsT3ZlcnJpZGVUZXh0IjoiKEJlcmdlciAmIERlWW91bmcsIDE5OTcifSwiY2l0YXRpb25JdGVtcyI6W3siaWQiOiIzZDQ2NTJlYi0yNTllLTNhZjEtOTU1Yy03NGJhODc2MTM4MTQiLCJpdGVtRGF0YSI6eyJ0eXBlIjoiYXJ0aWNsZS1qb3VybmFsIiwiaWQiOiIzZDQ2NTJlYi0yNTllLTNhZjEtOTU1Yy03NGJhODc2MTM4MTQiLCJ0aXRsZSI6IlByb2JsZW0gTG9hbnMgYW5kIENvc3QgRWZmaWNpZW5jeSBpbiBDb21tZXJjaWFsIEJhbmtzIiwiYXV0aG9yIjpbeyJmYW1pbHkiOiJCZXJnZXIiLCJnaXZlbiI6IkFsbGVuIE4iLCJwYXJzZS1uYW1lcyI6ZmFsc2UsImRyb3BwaW5nLXBhcnRpY2xlIjoiIiwibm9uLWRyb3BwaW5nLXBhcnRpY2xlIjoiIn0seyJmYW1pbHkiOiJEZVlvdW5nIiwiZ2l2ZW4iOiJSb2JlcnQiLCJwYXJzZS1uYW1lcyI6ZmFsc2UsImRyb3BwaW5nLXBhcnRpY2xlIjoiIiwibm9uLWRyb3BwaW5nLXBhcnRpY2xlIjoiIn1dLCJjb250YWluZXItdGl0bGUiOiJKb3VybmFsIG9mIEJhbmtpbmcgJiBGaW5hbmNlIiwiY29udGFpbmVyLXRpdGxlLXNob3J0IjoiSi4gQmFuay4gRmluYW5jLiIsIkRPSSI6IjEwLjEwMTYvUzAzNzgtNDI2Nig5NykwMDAwMy00IiwiaXNzdWVkIjp7ImRhdGUtcGFydHMiOltbMTk5N11dfSwicGFnZSI6Ijg0OS04NzAiLCJpc3N1ZSI6IjYiLCJ2b2x1bWUiOiIyMSJ9LCJpc1RlbXBvcmFyeSI6ZmFsc2V9XX0=&quot;,&quot;citationItems&quot;:[{&quot;id&quot;:&quot;3d4652eb-259e-3af1-955c-74ba87613814&quot;,&quot;itemData&quot;:{&quot;type&quot;:&quot;article-journal&quot;,&quot;id&quot;:&quot;3d4652eb-259e-3af1-955c-74ba87613814&quot;,&quot;title&quot;:&quot;Problem Loans and Cost Efficiency in Commercial Banks&quot;,&quot;author&quot;:[{&quot;family&quot;:&quot;Berger&quot;,&quot;given&quot;:&quot;Allen N&quot;,&quot;parse-names&quot;:false,&quot;dropping-particle&quot;:&quot;&quot;,&quot;non-dropping-particle&quot;:&quot;&quot;},{&quot;family&quot;:&quot;DeYoung&quot;,&quot;given&quot;:&quot;Robert&quot;,&quot;parse-names&quot;:false,&quot;dropping-particle&quot;:&quot;&quot;,&quot;non-dropping-particle&quot;:&quot;&quot;}],&quot;container-title&quot;:&quot;Journal of Banking &amp; Finance&quot;,&quot;container-title-short&quot;:&quot;J. Bank. Financ.&quot;,&quot;DOI&quot;:&quot;10.1016/S0378-4266(97)00003-4&quot;,&quot;issued&quot;:{&quot;date-parts&quot;:[[1997]]},&quot;page&quot;:&quot;849-870&quot;,&quot;issue&quot;:&quot;6&quot;,&quot;volume&quot;:&quot;21&quot;},&quot;isTemporary&quot;:false}]},{&quot;citationID&quot;:&quot;MENDELEY_CITATION_7f3b92f8-2cca-42f7-8c5a-7d3db50bb957&quot;,&quot;properties&quot;:{&quot;noteIndex&quot;:0},&quot;isEdited&quot;:false,&quot;manualOverride&quot;:{&quot;isManuallyOverridden&quot;:true,&quot;citeprocText&quot;:&quot;(Ekinci &amp;#38; Poyraz, 2019)&quot;,&quot;manualOverrideText&quot;:&quot;Ekinci &amp; Poyraz, 2019)&quot;},&quot;citationTag&quot;:&quot;MENDELEY_CITATION_v3_eyJjaXRhdGlvbklEIjoiTUVOREVMRVlfQ0lUQVRJT05fN2YzYjkyZjgtMmNjYS00MmY3LThjNWEtN2QzZGI1MGJiOTU3IiwicHJvcGVydGllcyI6eyJub3RlSW5kZXgiOjB9LCJpc0VkaXRlZCI6ZmFsc2UsIm1hbnVhbE92ZXJyaWRlIjp7ImlzTWFudWFsbHlPdmVycmlkZGVuIjp0cnVlLCJjaXRlcHJvY1RleHQiOiIoRWtpbmNpICYjMzg7IFBveXJheiwgMjAxOSkiLCJtYW51YWxPdmVycmlkZVRleHQiOiJFa2luY2kgJiBQb3lyYXosIDIwMTkpIn0sImNpdGF0aW9uSXRlbXMiOlt7ImlkIjoiNDExNjRlNWQtMDVkYy0zNmY2LWJiM2EtNDIyYmViZjE0ZDhlIiwiaXRlbURhdGEiOnsidHlwZSI6ImFydGljbGUtam91cm5hbCIsImlkIjoiNDExNjRlNWQtMDVkYy0zNmY2LWJiM2EtNDIyYmViZjE0ZDhlIiwidGl0bGUiOiJUaGUgRWZmZWN0IG9mIENyZWRpdCBSaXNrIG9uIEZpbmFuY2lhbCBQZXJmb3JtYW5jZSBvZiBEZXBvc2l0IEJhbmtzIGluIFR1cmtleSIsImF1dGhvciI6W3siZmFtaWx5IjoiRWtpbmNpIiwiZ2l2ZW4iOiJSYW1hemFuIiwicGFyc2UtbmFtZXMiOmZhbHNlLCJkcm9wcGluZy1wYXJ0aWNsZSI6IiIsIm5vbi1kcm9wcGluZy1wYXJ0aWNsZSI6IiJ9LHsiZmFtaWx5IjoiUG95cmF6IiwiZ2l2ZW4iOiJHdWxkZW4iLCJwYXJzZS1uYW1lcyI6ZmFsc2UsImRyb3BwaW5nLXBhcnRpY2xlIjoiIiwibm9uLWRyb3BwaW5nLXBhcnRpY2xlIjoiIn1dLCJjb250YWluZXItdGl0bGUiOiJQcm9jZWRpYSBDb21wdXRlciBTY2llbmNlIiwiY29udGFpbmVyLXRpdGxlLXNob3J0IjoiUHJvY2VkaWEgQ29tcHV0LiBTY2kuIiwiRE9JIjoiMTAuMTAxNi9qLnByb2NzLjIwMTkuMDkuMTM5IiwiaXNzdWVkIjp7ImRhdGUtcGFydHMiOltbMjAxOV1dfSwicGFnZSI6Ijk3OS05ODciLCJ2b2x1bWUiOiIxNTgifSwiaXNUZW1wb3JhcnkiOmZhbHNlfV19&quot;,&quot;citationItems&quot;:[{&quot;id&quot;:&quot;41164e5d-05dc-36f6-bb3a-422bebf14d8e&quot;,&quot;itemData&quot;:{&quot;type&quot;:&quot;article-journal&quot;,&quot;id&quot;:&quot;41164e5d-05dc-36f6-bb3a-422bebf14d8e&quot;,&quot;title&quot;:&quot;The Effect of Credit Risk on Financial Performance of Deposit Banks in Turkey&quot;,&quot;author&quot;:[{&quot;family&quot;:&quot;Ekinci&quot;,&quot;given&quot;:&quot;Ramazan&quot;,&quot;parse-names&quot;:false,&quot;dropping-particle&quot;:&quot;&quot;,&quot;non-dropping-particle&quot;:&quot;&quot;},{&quot;family&quot;:&quot;Poyraz&quot;,&quot;given&quot;:&quot;Gulden&quot;,&quot;parse-names&quot;:false,&quot;dropping-particle&quot;:&quot;&quot;,&quot;non-dropping-particle&quot;:&quot;&quot;}],&quot;container-title&quot;:&quot;Procedia Computer Science&quot;,&quot;container-title-short&quot;:&quot;Procedia Comput. Sci.&quot;,&quot;DOI&quot;:&quot;10.1016/j.procs.2019.09.139&quot;,&quot;issued&quot;:{&quot;date-parts&quot;:[[2019]]},&quot;page&quot;:&quot;979-987&quot;,&quot;volume&quot;:&quot;158&quot;},&quot;isTemporary&quot;:false}]},{&quot;citationID&quot;:&quot;MENDELEY_CITATION_a83d4edd-c3bb-4f33-9347-5e13ec84fe3d&quot;,&quot;properties&quot;:{&quot;noteIndex&quot;:0},&quot;isEdited&quot;:false,&quot;manualOverride&quot;:{&quot;isManuallyOverridden&quot;:true,&quot;citeprocText&quot;:&quot;(Tran &amp;#38; others, 2022)&quot;,&quot;manualOverrideText&quot;:&quot;(Tran et al, 2022&quot;},&quot;citationTag&quot;:&quot;MENDELEY_CITATION_v3_eyJjaXRhdGlvbklEIjoiTUVOREVMRVlfQ0lUQVRJT05fYTgzZDRlZGQtYzNiYi00ZjMzLTkzNDctNWUxM2VjODRmZTNkIiwicHJvcGVydGllcyI6eyJub3RlSW5kZXgiOjB9LCJpc0VkaXRlZCI6ZmFsc2UsIm1hbnVhbE92ZXJyaWRlIjp7ImlzTWFudWFsbHlPdmVycmlkZGVuIjp0cnVlLCJjaXRlcHJvY1RleHQiOiIoVHJhbiAmIzM4OyBvdGhlcnMsIDIwMjIpIiwibWFudWFsT3ZlcnJpZGVUZXh0IjoiKFRyYW4gZXQgYWwsIDIwMjIifSwiY2l0YXRpb25JdGVtcyI6W3siaWQiOiIyMjRmNWQ3MS1hN2M0LTNjMGEtODBhMC03YmY3NTNiZGNjYzEiLCJpdGVtRGF0YSI6eyJ0eXBlIjoiYXJ0aWNsZS1qb3VybmFsIiwiaWQiOiIyMjRmNWQ3MS1hN2M0LTNjMGEtODBhMC03YmY3NTNiZGNjYzEiLCJ0aXRsZSI6IlRoZSBJbXBhY3Qgb2YgTm9uLVBlcmZvcm1pbmcgTG9hbnMgb24gQmFuayBQcm9maXRhYmlsaXR5OiBBIENvbXBhcmF0aXZlIFN0dWR5IiwiYXV0aG9yIjpbeyJmYW1pbHkiOiJUcmFuIiwiZ2l2ZW4iOiJIIFQiLCJwYXJzZS1uYW1lcyI6ZmFsc2UsImRyb3BwaW5nLXBhcnRpY2xlIjoiIiwibm9uLWRyb3BwaW5nLXBhcnRpY2xlIjoiIn0seyJmYW1pbHkiOiJvdGhlcnMiLCJnaXZlbiI6IiIsInBhcnNlLW5hbWVzIjpmYWxzZSwiZHJvcHBpbmctcGFydGljbGUiOiIiLCJub24tZHJvcHBpbmctcGFydGljbGUiOiIifV0sImNvbnRhaW5lci10aXRsZSI6IkpvdXJuYWwgb2YgUmlzayBhbmQgRmluYW5jaWFsIE1hbmFnZW1lbnQiLCJpc3N1ZWQiOnsiZGF0ZS1wYXJ0cyI6W1syMDIyXV19LCJjb250YWluZXItdGl0bGUtc2hvcnQiOiIifSwiaXNUZW1wb3JhcnkiOmZhbHNlfV19&quot;,&quot;citationItems&quot;:[{&quot;id&quot;:&quot;224f5d71-a7c4-3c0a-80a0-7bf753bdccc1&quot;,&quot;itemData&quot;:{&quot;type&quot;:&quot;article-journal&quot;,&quot;id&quot;:&quot;224f5d71-a7c4-3c0a-80a0-7bf753bdccc1&quot;,&quot;title&quot;:&quot;The Impact of Non-Performing Loans on Bank Profitability: A Comparative Study&quot;,&quot;author&quot;:[{&quot;family&quot;:&quot;Tran&quot;,&quot;given&quot;:&quot;H T&quot;,&quot;parse-names&quot;:false,&quot;dropping-particle&quot;:&quot;&quot;,&quot;non-dropping-particle&quot;:&quot;&quot;},{&quot;family&quot;:&quot;others&quot;,&quot;given&quot;:&quot;&quot;,&quot;parse-names&quot;:false,&quot;dropping-particle&quot;:&quot;&quot;,&quot;non-dropping-particle&quot;:&quot;&quot;}],&quot;container-title&quot;:&quot;Journal of Risk and Financial Management&quot;,&quot;issued&quot;:{&quot;date-parts&quot;:[[2022]]},&quot;container-title-short&quot;:&quot;&quot;},&quot;isTemporary&quot;:false}]},{&quot;citationID&quot;:&quot;MENDELEY_CITATION_9d7d5a76-ee10-4d23-b6a8-464ab659034c&quot;,&quot;properties&quot;:{&quot;noteIndex&quot;:0},&quot;isEdited&quot;:false,&quot;manualOverride&quot;:{&quot;isManuallyOverridden&quot;:true,&quot;citeprocText&quot;:&quot;(Duong &amp;#38; others, 2023)&quot;,&quot;manualOverrideText&quot;:&quot;Duong et al, 2023)&quot;},&quot;citationTag&quot;:&quot;MENDELEY_CITATION_v3_eyJjaXRhdGlvbklEIjoiTUVOREVMRVlfQ0lUQVRJT05fOWQ3ZDVhNzYtZWUxMC00ZDIzLWI2YTgtNDY0YWI2NTkwMzRjIiwicHJvcGVydGllcyI6eyJub3RlSW5kZXgiOjB9LCJpc0VkaXRlZCI6ZmFsc2UsIm1hbnVhbE92ZXJyaWRlIjp7ImlzTWFudWFsbHlPdmVycmlkZGVuIjp0cnVlLCJjaXRlcHJvY1RleHQiOiIoRHVvbmcgJiMzODsgb3RoZXJzLCAyMDIzKSIsIm1hbnVhbE92ZXJyaWRlVGV4dCI6IkR1b25nIGV0IGFsLCAyMDIzKSJ9LCJjaXRhdGlvbkl0ZW1zIjpbeyJpZCI6IjNmYWU0MWE5LTI4ZTAtMzRlYy1hOTI2LWI2N2RhOTExMGVhNyIsIml0ZW1EYXRhIjp7InR5cGUiOiJhcnRpY2xlLWpvdXJuYWwiLCJpZCI6IjNmYWU0MWE5LTI4ZTAtMzRlYy1hOTI2LWI2N2RhOTExMGVhNyIsInRpdGxlIjoiTm9uLVBlcmZvcm1pbmcgTG9hbnMgYW5kIEJhbmsgUHJvZml0YWJpbGl0eTogRXZpZGVuY2UgZnJvbSBFbWVyZ2luZyBNYXJrZXRzIiwiYXV0aG9yIjpbeyJmYW1pbHkiOiJEdW9uZyIsImdpdmVuIjoiVCBUIE4iLCJwYXJzZS1uYW1lcyI6ZmFsc2UsImRyb3BwaW5nLXBhcnRpY2xlIjoiIiwibm9uLWRyb3BwaW5nLXBhcnRpY2xlIjoiIn0seyJmYW1pbHkiOiJvdGhlcnMiLCJnaXZlbiI6IiIsInBhcnNlLW5hbWVzIjpmYWxzZSwiZHJvcHBpbmctcGFydGljbGUiOiIiLCJub24tZHJvcHBpbmctcGFydGljbGUiOiIifV0sImNvbnRhaW5lci10aXRsZSI6IkludGVybmF0aW9uYWwgUmV2aWV3IG9mIEZpbmFuY2lhbCBBbmFseXNpcyIsImlzc3VlZCI6eyJkYXRlLXBhcnRzIjpbWzIwMjNdXX0sImNvbnRhaW5lci10aXRsZS1zaG9ydCI6IiJ9LCJpc1RlbXBvcmFyeSI6ZmFsc2V9XX0=&quot;,&quot;citationItems&quot;:[{&quot;id&quot;:&quot;3fae41a9-28e0-34ec-a926-b67da9110ea7&quot;,&quot;itemData&quot;:{&quot;type&quot;:&quot;article-journal&quot;,&quot;id&quot;:&quot;3fae41a9-28e0-34ec-a926-b67da9110ea7&quot;,&quot;title&quot;:&quot;Non-Performing Loans and Bank Profitability: Evidence from Emerging Markets&quot;,&quot;author&quot;:[{&quot;family&quot;:&quot;Duong&quot;,&quot;given&quot;:&quot;T T N&quot;,&quot;parse-names&quot;:false,&quot;dropping-particle&quot;:&quot;&quot;,&quot;non-dropping-particle&quot;:&quot;&quot;},{&quot;family&quot;:&quot;others&quot;,&quot;given&quot;:&quot;&quot;,&quot;parse-names&quot;:false,&quot;dropping-particle&quot;:&quot;&quot;,&quot;non-dropping-particle&quot;:&quot;&quot;}],&quot;container-title&quot;:&quot;International Review of Financial Analysis&quot;,&quot;issued&quot;:{&quot;date-parts&quot;:[[2023]]},&quot;container-title-short&quot;:&quot;&quot;},&quot;isTemporary&quot;:false}]},{&quot;citationID&quot;:&quot;MENDELEY_CITATION_f1f25589-0ddb-467e-82c2-854dd766ca22&quot;,&quot;properties&quot;:{&quot;noteIndex&quot;:0},&quot;isEdited&quot;:false,&quot;manualOverride&quot;:{&quot;isManuallyOverridden&quot;:true,&quot;citeprocText&quot;:&quot;(Kumari &amp;#38; others, 2024)&quot;,&quot;manualOverrideText&quot;:&quot;Kumari et al (2024)&quot;},&quot;citationTag&quot;:&quot;MENDELEY_CITATION_v3_eyJjaXRhdGlvbklEIjoiTUVOREVMRVlfQ0lUQVRJT05fZjFmMjU1ODktMGRkYi00NjdlLTgyYzItODU0ZGQ3NjZjYTIyIiwicHJvcGVydGllcyI6eyJub3RlSW5kZXgiOjB9LCJpc0VkaXRlZCI6ZmFsc2UsIm1hbnVhbE92ZXJyaWRlIjp7ImlzTWFudWFsbHlPdmVycmlkZGVuIjp0cnVlLCJjaXRlcHJvY1RleHQiOiIoS3VtYXJpICYjMzg7IG90aGVycywgMjAyNCkiLCJtYW51YWxPdmVycmlkZVRleHQiOiJLdW1hcmkgZXQgYWwgKDIwMjQpIn0sImNpdGF0aW9uSXRlbXMiOlt7ImlkIjoiMDYzMDEyOWEtNmZmYy0zZDI0LWE1ZjMtNGIzMTBjZDAzNzBmIiwiaXRlbURhdGEiOnsidHlwZSI6ImFydGljbGUtam91cm5hbCIsImlkIjoiMDYzMDEyOWEtNmZmYy0zZDI0LWE1ZjMtNGIzMTBjZDAzNzBmIiwidGl0bGUiOiJEZXRlcm1pbmFudHMgb2YgQmFuayBQcm9maXRhYmlsaXR5IGluIEluZGlhOiBUaGUgUm9sZSBvZiBDcmVkaXQgUmlzayBhbmQgQmFuayBTaXplIiwiYXV0aG9yIjpbeyJmYW1pbHkiOiJLdW1hcmkiLCJnaXZlbiI6IlMiLCJwYXJzZS1uYW1lcyI6ZmFsc2UsImRyb3BwaW5nLXBhcnRpY2xlIjoiIiwibm9uLWRyb3BwaW5nLXBhcnRpY2xlIjoiIn0seyJmYW1pbHkiOiJvdGhlcnMiLCJnaXZlbiI6IiIsInBhcnNlLW5hbWVzIjpmYWxzZSwiZHJvcHBpbmctcGFydGljbGUiOiIiLCJub24tZHJvcHBpbmctcGFydGljbGUiOiIifV0sImNvbnRhaW5lci10aXRsZSI6IkludGVybmF0aW9uYWwgSm91cm5hbCBvZiBGaW5hbmNlICYgRWNvbm9taWNzIiwiaXNzdWVkIjp7ImRhdGUtcGFydHMiOltbMjAyNF1dfSwiY29udGFpbmVyLXRpdGxlLXNob3J0IjoiIn0sImlzVGVtcG9yYXJ5IjpmYWxzZX1dfQ==&quot;,&quot;citationItems&quot;:[{&quot;id&quot;:&quot;0630129a-6ffc-3d24-a5f3-4b310cd0370f&quot;,&quot;itemData&quot;:{&quot;type&quot;:&quot;article-journal&quot;,&quot;id&quot;:&quot;0630129a-6ffc-3d24-a5f3-4b310cd0370f&quot;,&quot;title&quot;:&quot;Determinants of Bank Profitability in India: The Role of Credit Risk and Bank Size&quot;,&quot;author&quot;:[{&quot;family&quot;:&quot;Kumari&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Finance &amp; Economics&quot;,&quot;issued&quot;:{&quot;date-parts&quot;:[[2024]]},&quot;container-title-short&quot;:&quot;&quot;},&quot;isTemporary&quot;:false}]},{&quot;citationID&quot;:&quot;MENDELEY_CITATION_a3e64e95-03f3-474a-9a24-dc7b87b58275&quot;,&quot;properties&quot;:{&quot;noteIndex&quot;:0},&quot;isEdited&quot;:false,&quot;manualOverride&quot;:{&quot;isManuallyOverridden&quot;:true,&quot;citeprocText&quot;:&quot;(Phung &amp;#38; others, 2022)&quot;,&quot;manualOverrideText&quot;:&quot;Phung et al, 2022&quot;},&quot;citationTag&quot;:&quot;MENDELEY_CITATION_v3_eyJjaXRhdGlvbklEIjoiTUVOREVMRVlfQ0lUQVRJT05fYTNlNjRlOTUtMDNmMy00NzRhLTlhMjQtZGM3Yjg3YjU4Mjc1IiwicHJvcGVydGllcyI6eyJub3RlSW5kZXgiOjB9LCJpc0VkaXRlZCI6ZmFsc2UsIm1hbnVhbE92ZXJyaWRlIjp7ImlzTWFudWFsbHlPdmVycmlkZGVuIjp0cnVlLCJjaXRlcHJvY1RleHQiOiIoUGh1bmcgJiMzODsgb3RoZXJzLCAyMDIyKSIsIm1hbnVhbE92ZXJyaWRlVGV4dCI6IlBodW5nIGV0IGFsLCAyMDIyIn0sImNpdGF0aW9uSXRlbXMiOlt7ImlkIjoiY2FjYWY4YjUtOTZjOS0zNGMwLWFkNTctYzY1NzJkNjhlZTJkIiwiaXRlbURhdGEiOnsidHlwZSI6ImFydGljbGUtam91cm5hbCIsImlkIjoiY2FjYWY4YjUtOTZjOS0zNGMwLWFkNTctYzY1NzJkNjhlZTJkIiwidGl0bGUiOiJDcmVkaXQgUmlzayBhbmQgQmFuayBQcm9maXRhYmlsaXR5IGluIFZpZXRuYW0iLCJhdXRob3IiOlt7ImZhbWlseSI6IlBodW5nIiwiZ2l2ZW4iOiJRIFQiLCJwYXJzZS1uYW1lcyI6ZmFsc2UsImRyb3BwaW5nLXBhcnRpY2xlIjoiIiwibm9uLWRyb3BwaW5nLXBhcnRpY2xlIjoiIn0seyJmYW1pbHkiOiJvdGhlcnMiLCJnaXZlbiI6IiIsInBhcnNlLW5hbWVzIjpmYWxzZSwiZHJvcHBpbmctcGFydGljbGUiOiIiLCJub24tZHJvcHBpbmctcGFydGljbGUiOiIifV0sImNvbnRhaW5lci10aXRsZSI6IkNvZ2VudCBCdXNpbmVzcyAmIE1hbmFnZW1lbnQiLCJpc3N1ZWQiOnsiZGF0ZS1wYXJ0cyI6W1syMDIyXV19LCJjb250YWluZXItdGl0bGUtc2hvcnQiOiIifSwiaXNUZW1wb3JhcnkiOmZhbHNlfV19&quot;,&quot;citationItems&quot;:[{&quot;id&quot;:&quot;cacaf8b5-96c9-34c0-ad57-c6572d68ee2d&quot;,&quot;itemData&quot;:{&quot;type&quot;:&quot;article-journal&quot;,&quot;id&quot;:&quot;cacaf8b5-96c9-34c0-ad57-c6572d68ee2d&quot;,&quot;title&quot;:&quot;Credit Risk and Bank Profitability in Vietnam&quot;,&quot;author&quot;:[{&quot;family&quot;:&quot;Phung&quot;,&quot;given&quot;:&quot;Q T&quot;,&quot;parse-names&quot;:false,&quot;dropping-particle&quot;:&quot;&quot;,&quot;non-dropping-particle&quot;:&quot;&quot;},{&quot;family&quot;:&quot;others&quot;,&quot;given&quot;:&quot;&quot;,&quot;parse-names&quot;:false,&quot;dropping-particle&quot;:&quot;&quot;,&quot;non-dropping-particle&quot;:&quot;&quot;}],&quot;container-title&quot;:&quot;Cogent Business &amp; Management&quot;,&quot;issued&quot;:{&quot;date-parts&quot;:[[2022]]},&quot;container-title-short&quot;:&quot;&quot;},&quot;isTemporary&quot;:false}]},{&quot;citationID&quot;:&quot;MENDELEY_CITATION_390f38ea-8613-4d7a-bc32-cb0312c9ef4d&quot;,&quot;properties&quot;:{&quot;noteIndex&quot;:0},&quot;isEdited&quot;:false,&quot;manualOverride&quot;:{&quot;isManuallyOverridden&quot;:true,&quot;citeprocText&quot;:&quot;(Ozili &amp;#38; Outa, 2017)&quot;,&quot;manualOverrideText&quot;:&quot;Ozili &amp; Outa, 2017&quot;},&quot;citationTag&quot;:&quot;MENDELEY_CITATION_v3_eyJjaXRhdGlvbklEIjoiTUVOREVMRVlfQ0lUQVRJT05fMzkwZjM4ZWEtODYxMy00ZDdhLWJjMzItY2IwMzEyYzllZjRkIiwicHJvcGVydGllcyI6eyJub3RlSW5kZXgiOjB9LCJpc0VkaXRlZCI6ZmFsc2UsIm1hbnVhbE92ZXJyaWRlIjp7ImlzTWFudWFsbHlPdmVycmlkZGVuIjp0cnVlLCJjaXRlcHJvY1RleHQiOiIoT3ppbGkgJiMzODsgT3V0YSwgMjAxNykiLCJtYW51YWxPdmVycmlkZVRleHQiOiJPemlsaSAmIE91dGEsIDIwMTcifSwiY2l0YXRpb25JdGVtcyI6W3siaWQiOiI0ZGE0ZTI5OS00MmE0LTNmNzItYmQ1Yi02YzZkYTNhNTZiNDgiLCJpdGVtRGF0YSI6eyJ0eXBlIjoiYXJ0aWNsZS1qb3VybmFsIiwiaWQiOiI0ZGE0ZTI5OS00MmE0LTNmNzItYmQ1Yi02YzZkYTNhNTZiNDgiLCJ0aXRsZSI6IkJhbmsgTG9hbiBMb3NzIFByb3Zpc2lvbnMgUmVzZWFyY2g6IEEgUmV2aWV3IiwiYXV0aG9yIjpbeyJmYW1pbHkiOiJPemlsaSIsImdpdmVuIjoiUGV0ZXJzb24gSyIsInBhcnNlLW5hbWVzIjpmYWxzZSwiZHJvcHBpbmctcGFydGljbGUiOiIiLCJub24tZHJvcHBpbmctcGFydGljbGUiOiIifSx7ImZhbWlseSI6Ik91dGEiLCJnaXZlbiI6IkVyaWNrIiwicGFyc2UtbmFtZXMiOmZhbHNlLCJkcm9wcGluZy1wYXJ0aWNsZSI6IiIsIm5vbi1kcm9wcGluZy1wYXJ0aWNsZSI6IiJ9XSwiY29udGFpbmVyLXRpdGxlIjoiQm9yc2EgSXN0YW5idWwgUmV2aWV3IiwiRE9JIjoiMTAuMTAxNi9qLmJpci4yMDE3LjA1LjAwMSIsImlzc3VlZCI6eyJkYXRlLXBhcnRzIjpbWzIwMTddXX0sInBhZ2UiOiIxNDQtMTYzIiwicHVibGlzaGVyIjoiRWxzZXZpZXIiLCJpc3N1ZSI6IjMiLCJ2b2x1bWUiOiIxNyIsImNvbnRhaW5lci10aXRsZS1zaG9ydCI6IiJ9LCJpc1RlbXBvcmFyeSI6ZmFsc2V9XX0=&quot;,&quot;citationItems&quot;:[{&quot;id&quot;:&quot;4da4e299-42a4-3f72-bd5b-6c6da3a56b48&quot;,&quot;itemData&quot;:{&quot;type&quot;:&quot;article-journal&quot;,&quot;id&quot;:&quot;4da4e299-42a4-3f72-bd5b-6c6da3a56b48&quot;,&quot;title&quot;:&quot;Bank Loan Loss Provisions Research: A Review&quot;,&quot;author&quot;:[{&quot;family&quot;:&quot;Ozili&quot;,&quot;given&quot;:&quot;Peterson K&quot;,&quot;parse-names&quot;:false,&quot;dropping-particle&quot;:&quot;&quot;,&quot;non-dropping-particle&quot;:&quot;&quot;},{&quot;family&quot;:&quot;Outa&quot;,&quot;given&quot;:&quot;Erick&quot;,&quot;parse-names&quot;:false,&quot;dropping-particle&quot;:&quot;&quot;,&quot;non-dropping-particle&quot;:&quot;&quot;}],&quot;container-title&quot;:&quot;Borsa Istanbul Review&quot;,&quot;DOI&quot;:&quot;10.1016/j.bir.2017.05.001&quot;,&quot;issued&quot;:{&quot;date-parts&quot;:[[2017]]},&quot;page&quot;:&quot;144-163&quot;,&quot;publisher&quot;:&quot;Elsevier&quot;,&quot;issue&quot;:&quot;3&quot;,&quot;volume&quot;:&quot;17&quot;,&quot;container-title-short&quot;:&quot;&quot;},&quot;isTemporary&quot;:false}]},{&quot;citationID&quot;:&quot;MENDELEY_CITATION_82ee0f2e-1622-4f81-a5e6-9593cb4a0c71&quot;,&quot;properties&quot;:{&quot;noteIndex&quot;:0},&quot;isEdited&quot;:false,&quot;manualOverride&quot;:{&quot;isManuallyOverridden&quot;:true,&quot;citeprocText&quot;:&quot;(Boudriga et al., 2020)&quot;,&quot;manualOverrideText&quot;:&quot;Boudriga et al., 2020&quot;},&quot;citationTag&quot;:&quot;MENDELEY_CITATION_v3_eyJjaXRhdGlvbklEIjoiTUVOREVMRVlfQ0lUQVRJT05fODJlZTBmMmUtMTYyMi00ZjgxLWE1ZTYtOTU5M2NiNGEwYzcxIiwicHJvcGVydGllcyI6eyJub3RlSW5kZXgiOjB9LCJpc0VkaXRlZCI6ZmFsc2UsIm1hbnVhbE92ZXJyaWRlIjp7ImlzTWFudWFsbHlPdmVycmlkZGVuIjp0cnVlLCJjaXRlcHJvY1RleHQiOiIoQm91ZHJpZ2EgZXQgYWwuLCAyMDIwKSIsIm1hbnVhbE92ZXJyaWRlVGV4dCI6IkJvdWRyaWdhIGV0IGFsLiwgMjAyMCJ9LCJjaXRhdGlvbkl0ZW1zIjpbeyJpZCI6IjRkNzI1ODBiLWRiZmUtM2NlNi04NTM1LWU0ZTQzMjI5YmFhMCIsIml0ZW1EYXRhIjp7InR5cGUiOiJhcnRpY2xlLWpvdXJuYWwiLCJpZCI6IjRkNzI1ODBiLWRiZmUtM2NlNi04NTM1LWU0ZTQzMjI5YmFhMCIsInRpdGxlIjoiQmFuay1TcGVjaWZpYywgQnVzaW5lc3MgYW5kIEluc3RpdHV0aW9uYWwgRW52aXJvbm1lbnQgRGV0ZXJtaW5hbnRzIG9mIEJhbmtzIE5vbnBlcmZvcm1pbmcgTG9hbnM6IEV2aWRlbmNlIGZyb20gRW1lcmdpbmcgTWFya2V0cyIsImF1dGhvciI6W3siZmFtaWx5IjoiQm91ZHJpZ2EiLCJnaXZlbiI6IkFiZGVsa2FkZXIiLCJwYXJzZS1uYW1lcyI6ZmFsc2UsImRyb3BwaW5nLXBhcnRpY2xlIjoiIiwibm9uLWRyb3BwaW5nLXBhcnRpY2xlIjoiIn0seyJmYW1pbHkiOiJCb3VsaWxhIiwiZ2l2ZW4iOiJOZWlsYSIsInBhcnNlLW5hbWVzIjpmYWxzZSwiZHJvcHBpbmctcGFydGljbGUiOiIiLCJub24tZHJvcHBpbmctcGFydGljbGUiOiIifSx7ImZhbWlseSI6IkplbGxvdWxpIiwiZ2l2ZW4iOiJTYW5hIiwicGFyc2UtbmFtZXMiOmZhbHNlLCJkcm9wcGluZy1wYXJ0aWNsZSI6IiIsIm5vbi1kcm9wcGluZy1wYXJ0aWNsZSI6IiJ9XSwiY29udGFpbmVyLXRpdGxlIjoiSm91cm5hbCBvZiBGaW5hbmNpYWwgRWNvbm9taWMgUG9saWN5IiwiRE9JIjoiMTAuMTEwOC9KRkVQLTA5LTIwMTktMDE4NSIsImlzc3VlZCI6eyJkYXRlLXBhcnRzIjpbWzIwMjBdXX0sInBhZ2UiOiI2MTktNjQxIiwicHVibGlzaGVyIjoiRW1lcmFsZCIsImlzc3VlIjoiNCIsInZvbHVtZSI6IjEyIiwiY29udGFpbmVyLXRpdGxlLXNob3J0IjoiIn0sImlzVGVtcG9yYXJ5IjpmYWxzZX1dfQ==&quot;,&quot;citationItems&quot;:[{&quot;id&quot;:&quot;4d72580b-dbfe-3ce6-8535-e4e43229baa0&quot;,&quot;itemData&quot;:{&quot;type&quot;:&quot;article-journal&quot;,&quot;id&quot;:&quot;4d72580b-dbfe-3ce6-8535-e4e43229baa0&quot;,&quot;title&quot;:&quot;Bank-Specific, Business and Institutional Environment Determinants of Banks Nonperforming Loans: Evidence from Emerging Markets&quot;,&quot;author&quot;:[{&quot;family&quot;:&quot;Boudriga&quot;,&quot;given&quot;:&quot;Abdelkader&quot;,&quot;parse-names&quot;:false,&quot;dropping-particle&quot;:&quot;&quot;,&quot;non-dropping-particle&quot;:&quot;&quot;},{&quot;family&quot;:&quot;Boulila&quot;,&quot;given&quot;:&quot;Neila&quot;,&quot;parse-names&quot;:false,&quot;dropping-particle&quot;:&quot;&quot;,&quot;non-dropping-particle&quot;:&quot;&quot;},{&quot;family&quot;:&quot;Jellouli&quot;,&quot;given&quot;:&quot;Sana&quot;,&quot;parse-names&quot;:false,&quot;dropping-particle&quot;:&quot;&quot;,&quot;non-dropping-particle&quot;:&quot;&quot;}],&quot;container-title&quot;:&quot;Journal of Financial Economic Policy&quot;,&quot;DOI&quot;:&quot;10.1108/JFEP-09-2019-0185&quot;,&quot;issued&quot;:{&quot;date-parts&quot;:[[2020]]},&quot;page&quot;:&quot;619-641&quot;,&quot;publisher&quot;:&quot;Emerald&quot;,&quot;issue&quot;:&quot;4&quot;,&quot;volume&quot;:&quot;12&quot;,&quot;container-title-short&quot;:&quot;&quot;},&quot;isTemporary&quot;:false}]},{&quot;citationID&quot;:&quot;MENDELEY_CITATION_e70f645d-6f07-47e1-898a-72d6197992bd&quot;,&quot;properties&quot;:{&quot;noteIndex&quot;:0},&quot;isEdited&quot;:false,&quot;manualOverride&quot;:{&quot;isManuallyOverridden&quot;:true,&quot;citeprocText&quot;:&quot;(Mateev et al., 2022)&quot;,&quot;manualOverrideText&quot;:&quot;Mateev et al., 2022&quot;},&quot;citationTag&quot;:&quot;MENDELEY_CITATION_v3_eyJjaXRhdGlvbklEIjoiTUVOREVMRVlfQ0lUQVRJT05fZTcwZjY0NWQtNmYwNy00N2UxLTg5OGEtNzJkNjE5Nzk5MmJkIiwicHJvcGVydGllcyI6eyJub3RlSW5kZXgiOjB9LCJpc0VkaXRlZCI6ZmFsc2UsIm1hbnVhbE92ZXJyaWRlIjp7ImlzTWFudWFsbHlPdmVycmlkZGVuIjp0cnVlLCJjaXRlcHJvY1RleHQiOiIoTWF0ZWV2IGV0IGFsLiwgMjAyMikiLCJtYW51YWxPdmVycmlkZVRleHQiOiJNYXRlZXYgZXQgYWwuLCAyMDIyIn0sImNpdGF0aW9uSXRlbXMiOlt7ImlkIjoiZGJiMWFiODktNTliYS0zNzNjLThhYWEtOTJkZjBhZTkxOWNmIiwiaXRlbURhdGEiOnsidHlwZSI6ImFydGljbGUtam91cm5hbCIsImlkIjoiZGJiMWFiODktNTliYS0zNzNjLThhYWEtOTJkZjBhZTkxOWNmIiwidGl0bGUiOiJCYW5rIFJlZ3VsYXRpb24sIE93bmVyc2hpcCBhbmQgUmlzay1UYWtpbmcgQmVoYXZpb3IgaW4gdGhlIE1FTkEgUmVnaW9uOiBQb2xpY3kgSW1wbGljYXRpb25zIGZvciBCYW5rcyBpbiBFbWVyZ2luZyBFY29ub21pZXMiLCJhdXRob3IiOlt7ImZhbWlseSI6Ik1hdGVldiIsImdpdmVuIjoiTWlyb3NsYXYiLCJwYXJzZS1uYW1lcyI6ZmFsc2UsImRyb3BwaW5nLXBhcnRpY2xlIjoiIiwibm9uLWRyb3BwaW5nLXBhcnRpY2xlIjoiIn0seyJmYW1pbHkiOiJTYWh5b3VuaSIsImdpdmVuIjoiQWhtYWQiLCJwYXJzZS1uYW1lcyI6ZmFsc2UsImRyb3BwaW5nLXBhcnRpY2xlIjoiIiwibm9uLWRyb3BwaW5nLXBhcnRpY2xlIjoiIn0seyJmYW1pbHkiOiJUYXJpcSIsImdpdmVuIjoiTXVoYW1tYWQgVXNtYW4iLCJwYXJzZS1uYW1lcyI6ZmFsc2UsImRyb3BwaW5nLXBhcnRpY2xlIjoiIiwibm9uLWRyb3BwaW5nLXBhcnRpY2xlIjoiIn1dLCJjb250YWluZXItdGl0bGUiOiJSZXZpZXcgb2YgTWFuYWdlcmlhbCBTY2llbmNlIiwiRE9JIjoiMTAuMTAwNy9zMTE4NDYtMDIyLTAwNTI5LTUiLCJpc3N1ZWQiOnsiZGF0ZS1wYXJ0cyI6W1syMDIyXV19LCJwYWdlIjoiMjg3LTMzOCIsInB1Ymxpc2hlciI6IlNwcmluZ2VyIiwiaXNzdWUiOiIxIiwidm9sdW1lIjoiMTciLCJjb250YWluZXItdGl0bGUtc2hvcnQiOiIifSwiaXNUZW1wb3JhcnkiOmZhbHNlfV19&quot;,&quot;citationItems&quot;:[{&quot;id&quot;:&quot;dbb1ab89-59ba-373c-8aaa-92df0ae919cf&quot;,&quot;itemData&quot;:{&quot;type&quot;:&quot;article-journal&quot;,&quot;id&quot;:&quot;dbb1ab89-59ba-373c-8aaa-92df0ae919cf&quot;,&quot;title&quot;:&quot;Bank Regulation, Ownership and Risk-Taking Behavior in the MENA Region: Policy Implications for Banks in Emerging Economies&quot;,&quot;author&quot;:[{&quot;family&quot;:&quot;Mateev&quot;,&quot;given&quot;:&quot;Miroslav&quot;,&quot;parse-names&quot;:false,&quot;dropping-particle&quot;:&quot;&quot;,&quot;non-dropping-particle&quot;:&quot;&quot;},{&quot;family&quot;:&quot;Sahyouni&quot;,&quot;given&quot;:&quot;Ahmad&quot;,&quot;parse-names&quot;:false,&quot;dropping-particle&quot;:&quot;&quot;,&quot;non-dropping-particle&quot;:&quot;&quot;},{&quot;family&quot;:&quot;Tariq&quot;,&quot;given&quot;:&quot;Muhammad Usman&quot;,&quot;parse-names&quot;:false,&quot;dropping-particle&quot;:&quot;&quot;,&quot;non-dropping-particle&quot;:&quot;&quot;}],&quot;container-title&quot;:&quot;Review of Managerial Science&quot;,&quot;DOI&quot;:&quot;10.1007/s11846-022-00529-5&quot;,&quot;issued&quot;:{&quot;date-parts&quot;:[[2022]]},&quot;page&quot;:&quot;287-338&quot;,&quot;publisher&quot;:&quot;Springer&quot;,&quot;issue&quot;:&quot;1&quot;,&quot;volume&quot;:&quot;17&quot;,&quot;container-title-short&quot;:&quot;&quot;},&quot;isTemporary&quot;:false}]},{&quot;citationID&quot;:&quot;MENDELEY_CITATION_ea667922-61e5-40bb-abc4-26ac485b5e8f&quot;,&quot;properties&quot;:{&quot;noteIndex&quot;:0},&quot;isEdited&quot;:false,&quot;manualOverride&quot;:{&quot;isManuallyOverridden&quot;:true,&quot;citeprocText&quot;:&quot;(Barney, 1991)&quot;,&quot;manualOverrideText&quot;:&quot;(Barney, 1991&quot;},&quot;citationTag&quot;:&quot;MENDELEY_CITATION_v3_eyJjaXRhdGlvbklEIjoiTUVOREVMRVlfQ0lUQVRJT05fZWE2Njc5MjItNjFlNS00MGJiLWFiYzQtMjZhYzQ4NWI1ZThmIiwicHJvcGVydGllcyI6eyJub3RlSW5kZXgiOjB9LCJpc0VkaXRlZCI6ZmFsc2UsIm1hbnVhbE92ZXJyaWRlIjp7ImlzTWFudWFsbHlPdmVycmlkZGVuIjp0cnVlLCJjaXRlcHJvY1RleHQiOiIoQmFybmV5LCAxOTkxKSIsIm1hbnVhbE92ZXJyaWRlVGV4dCI6IihCYXJuZXksIDE5OTEifSwiY2l0YXRpb25JdGVtcyI6W3siaWQiOiI1Mjg1NDc1MS0xNjVmLTM5ODQtOGNlNC03MGU5NzUyNjlkMTAiLCJpdGVtRGF0YSI6eyJ0eXBlIjoiYXJ0aWNsZS1qb3VybmFsIiwiaWQiOiI1Mjg1NDc1MS0xNjVmLTM5ODQtOGNlNC03MGU5NzUyNjlkMTA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uIE1hbmFnZS4iLCJET0kiOiIxMC4xMTc3LzAxNDkyMDYzOTEwMTcwMDEwOCIsImlzc3VlZCI6eyJkYXRlLXBhcnRzIjpbWzE5OTFdXX0sInBhZ2UiOiI5OS0xMjAiLCJpc3N1ZSI6IjEiLCJ2b2x1bWUiOiIxNyJ9LCJpc1RlbXBvcmFyeSI6ZmFsc2V9XX0=&quot;,&quot;citationItems&quot;:[{&quot;id&quot;:&quot;52854751-165f-3984-8ce4-70e975269d10&quot;,&quot;itemData&quot;:{&quot;type&quot;:&quot;article-journal&quot;,&quot;id&quot;:&quot;52854751-165f-3984-8ce4-70e975269d10&quot;,&quot;title&quot;:&quot;Firm Resources and Sustained Competitive Advantage&quot;,&quot;author&quot;:[{&quot;family&quot;:&quot;Barney&quot;,&quot;given&quot;:&quot;Jay&quot;,&quot;parse-names&quot;:false,&quot;dropping-particle&quot;:&quot;&quot;,&quot;non-dropping-particle&quot;:&quot;&quot;}],&quot;container-title&quot;:&quot;Journal of Management&quot;,&quot;container-title-short&quot;:&quot;J. Manage.&quot;,&quot;DOI&quot;:&quot;10.1177/014920639101700108&quot;,&quot;issued&quot;:{&quot;date-parts&quot;:[[1991]]},&quot;page&quot;:&quot;99-120&quot;,&quot;issue&quot;:&quot;1&quot;,&quot;volume&quot;:&quot;17&quot;},&quot;isTemporary&quot;:false}]},{&quot;citationID&quot;:&quot;MENDELEY_CITATION_1802e813-64d4-453a-baae-6e73c1deab44&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TgwMmU4MTMtNjRkNC00NTNhLWJhYWUtNmU3M2MxZGVhYjQ0IiwicHJvcGVydGllcyI6eyJub3RlSW5kZXgiOjB9LCJpc0VkaXRlZCI6ZmFsc2UsIm1hbnVhbE92ZXJyaWRlIjp7ImlzTWFudWFsbHlPdmVycmlkZGVuIjp0cnVlLCJjaXRlcHJvY1RleHQiOiIoSmVuc2VuICYjMzg7IE1lY2tsaW5nLCAxOTc2KSIsIm1hbnVhbE92ZXJyaWRlVGV4dCI6IkplbnNlbiAmIE1lY2tsaW5nLCAxOTc2In0sImNpdGF0aW9uSXRlbXMiOlt7ImlkIjoiNDY3NDcyNWItMGMxMC0zMTk4LTlmZjYtYWM4NTQxODQ5YWNlIiwiaXRlbURhdGEiOnsidHlwZSI6ImFydGljbGUtam91cm5hbCIsImlkIjoiNDY3NDcyNWItMGMxMC0zMTk4LTlmZjYtYWM4NTQxODQ5YWNlIiwidGl0bGUiOiJUaGVvcnkgb2YgdGhlIEZpcm06IE1hbmFnZXJpYWwgQmVoYXZpb3IsIEFnZW5jeSBDb3N0cy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kRPSSI6IjEwLjEwMTYvMDMwNC00MDVYKDc2KTkwMDI2LVgiLCJpc3N1ZWQiOnsiZGF0ZS1wYXJ0cyI6W1sxOTc2XV19LCJwYWdlIjoiMzA1LTM2MCIsImlzc3VlIjoiNCIsInZvbHVtZSI6IjMifSwiaXNUZW1wb3JhcnkiOmZhbHNlfV19&quot;,&quot;citationItems&quot;:[{&quot;id&quot;:&quot;4674725b-0c10-3198-9ff6-ac8541849ace&quot;,&quot;itemData&quot;:{&quot;type&quot;:&quot;article-journal&quot;,&quot;id&quot;:&quot;4674725b-0c10-3198-9ff6-ac8541849ace&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DOI&quot;:&quot;10.1016/0304-405X(76)90026-X&quot;,&quot;issued&quot;:{&quot;date-parts&quot;:[[1976]]},&quot;page&quot;:&quot;305-360&quot;,&quot;issue&quot;:&quot;4&quot;,&quot;volume&quot;:&quot;3&quot;},&quot;isTemporary&quot;:false}]},{&quot;citationID&quot;:&quot;MENDELEY_CITATION_b4d2f1c5-4723-4a15-9dae-c6d9ebb96f88&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YjRkMmYxYzUtNDcyMy00YTE1LTlkYWUtYzZkOWViYjk2Zjg4IiwicHJvcGVydGllcyI6eyJub3RlSW5kZXgiOjB9LCJpc0VkaXRlZCI6ZmFsc2UsIm1hbnVhbE92ZXJyaWRlIjp7ImlzTWFudWFsbHlPdmVycmlkZGVuIjp0cnVlLCJjaXRlcHJvY1RleHQiOiIoU3V0cmlzbm8gJiMzODsgb3RoZXJzLCAyMDI0KSIsIm1hbnVhbE92ZXJyaWRlVGV4dCI6IlN1dHJpc25vIGV0LiBhbC4sIDIwMjQ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48a7fefd-8ac7-4b86-9710-e806400419b0&quot;,&quot;properties&quot;:{&quot;noteIndex&quot;:0},&quot;isEdited&quot;:false,&quot;manualOverride&quot;:{&quot;isManuallyOverridden&quot;:true,&quot;citeprocText&quot;:&quot;(Arhinful &amp;#38; Radmehr, 2025)&quot;,&quot;manualOverrideText&quot;:&quot;Arhinful &amp; Radmehr, 2025&quot;},&quot;citationTag&quot;:&quot;MENDELEY_CITATION_v3_eyJjaXRhdGlvbklEIjoiTUVOREVMRVlfQ0lUQVRJT05fNDhhN2ZlZmQtOGFjNy00Yjg2LTk3MTAtZTgwNjQwMDQxOWIwIiwicHJvcGVydGllcyI6eyJub3RlSW5kZXgiOjB9LCJpc0VkaXRlZCI6ZmFsc2UsIm1hbnVhbE92ZXJyaWRlIjp7ImlzTWFudWFsbHlPdmVycmlkZGVuIjp0cnVlLCJjaXRlcHJvY1RleHQiOiIoQXJoaW5mdWwgJiMzODsgUmFkbWVociwgMjAyNSkiLCJtYW51YWxPdmVycmlkZVRleHQiOiJBcmhpbmZ1bCAmIFJhZG1laHIsIDIwMjUifSwiY2l0YXRpb25JdGVtcyI6W3siaWQiOiIxMjAyYjA1OS0zYzAzLTM2MDgtOWU3YS0xZmZjYzcyMjU5NmQiLCJpdGVtRGF0YSI6eyJ0eXBlIjoiYXJ0aWNsZS1qb3VybmFsIiwiaWQiOiIxMjAyYjA1OS0zYzAzLTM2MDgtOWU3YS0xZmZjYzcyMjU5NmQiLCJ0aXRsZSI6IlRoZSBNb2RlcmF0aW5nIEVmZmVjdCBvZiBCYW5rIFNpemUgYW5kIENhcGl0YWwgQWRlcXVhY3kgb24gdGhlIFJlbGF0aW9uc2hpcCBCZXR3ZWVuIE5vbi1QZXJmb3JtaW5nIExvYW5zIGFuZCBCYW5rIEdyb3d0aDogRXZpZGVuY2UgZnJvbSBVLlMuIEJhbmtz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CYW5raW5nICYgRmluYW5jZSIsImNvbnRhaW5lci10aXRsZS1zaG9ydCI6IkouIEJhbmsuIEZpbmFuYy4iLCJpc3N1ZWQiOnsiZGF0ZS1wYXJ0cyI6W1syMDI1XV19fSwiaXNUZW1wb3JhcnkiOmZhbHNlfV19&quot;,&quot;citationItems&quot;:[{&quot;id&quot;:&quot;1202b059-3c03-3608-9e7a-1ffcc722596d&quot;,&quot;itemData&quot;:{&quot;type&quot;:&quot;article-journal&quot;,&quot;id&quot;:&quot;1202b059-3c03-3608-9e7a-1ffcc722596d&quot;,&quot;title&quot;:&quot;The Moderating Effect of Bank Size and Capital Adequacy on the Relationship Between Non-Performing Loans and Bank Growth: Evidence from U.S. Banks&quot;,&quot;author&quot;:[{&quot;family&quot;:&quot;Arhinful&quot;,&quot;given&quot;:&quot;Richard&quot;,&quot;parse-names&quot;:false,&quot;dropping-particle&quot;:&quot;&quot;,&quot;non-dropping-particle&quot;:&quot;&quot;},{&quot;family&quot;:&quot;Radmehr&quot;,&quot;given&quot;:&quot;Mehrshad&quot;,&quot;parse-names&quot;:false,&quot;dropping-particle&quot;:&quot;&quot;,&quot;non-dropping-particle&quot;:&quot;&quot;}],&quot;container-title&quot;:&quot;Journal of Banking &amp; Finance&quot;,&quot;container-title-short&quot;:&quot;J. Bank. Financ.&quot;,&quot;issued&quot;:{&quot;date-parts&quot;:[[2025]]}},&quot;isTemporary&quot;:false}]},{&quot;citationID&quot;:&quot;MENDELEY_CITATION_d2dd860a-587e-4998-9854-953bb8d70e81&quot;,&quot;properties&quot;:{&quot;noteIndex&quot;:0},&quot;isEdited&quot;:false,&quot;manualOverride&quot;:{&quot;isManuallyOverridden&quot;:true,&quot;citeprocText&quot;:&quot;(Berger et al., 2017)&quot;,&quot;manualOverrideText&quot;:&quot;Berger et al., 2017&quot;},&quot;citationTag&quot;:&quot;MENDELEY_CITATION_v3_eyJjaXRhdGlvbklEIjoiTUVOREVMRVlfQ0lUQVRJT05fZDJkZDg2MGEtNTg3ZS00OTk4LTk4NTQtOTUzYmI4ZDcwZTgxIiwicHJvcGVydGllcyI6eyJub3RlSW5kZXgiOjB9LCJpc0VkaXRlZCI6ZmFsc2UsIm1hbnVhbE92ZXJyaWRlIjp7ImlzTWFudWFsbHlPdmVycmlkZGVuIjp0cnVlLCJjaXRlcHJvY1RleHQiOiIoQmVyZ2VyIGV0IGFsLiwgMjAxNykiLCJtYW51YWxPdmVycmlkZVRleHQiOiJCZXJnZXIgZXQgYWwuLCAyMDE3In0sImNpdGF0aW9uSXRlbXMiOlt7ImlkIjoiMmUxNGM5M2QtYzdhOC0zZWM3LWFiM2MtZDVhYTcyYzU2YzI5IiwiaXRlbURhdGEiOnsidHlwZSI6ImFydGljbGUtam91cm5hbCIsImlkIjoiMmUxNGM5M2QtYzdhOC0zZWM3LWFiM2MtZDVhYTcyYzU2YzI5IiwidGl0bGUiOiJCYW5rIExpcXVpZGl0eSBDcmVhdGlvbiBhbmQgRmluYW5jaWFsIENyaXNlcyIsImF1dGhvciI6W3siZmFtaWx5IjoiQmVyZ2VyIiwiZ2l2ZW4iOiJBbGxlbiBOIiwicGFyc2UtbmFtZXMiOmZhbHNlLCJkcm9wcGluZy1wYXJ0aWNsZSI6IiIsIm5vbi1kcm9wcGluZy1wYXJ0aWNsZSI6IiJ9LHsiZmFtaWx5IjoiQm91d21hbiIsImdpdmVuIjoiQ2hyaXN0YSBIIFMiLCJwYXJzZS1uYW1lcyI6ZmFsc2UsImRyb3BwaW5nLXBhcnRpY2xlIjoiIiwibm9uLWRyb3BwaW5nLXBhcnRpY2xlIjoiIn0seyJmYW1pbHkiOiJLaW0iLCJnaXZlbiI6IkRvbmciLCJwYXJzZS1uYW1lcyI6ZmFsc2UsImRyb3BwaW5nLXBhcnRpY2xlIjoiIiwibm9uLWRyb3BwaW5nLXBhcnRpY2xlIjoiIn0seyJmYW1pbHkiOiJZYW4iLCJnaXZlbiI6IlNodSIsInBhcnNlLW5hbWVzIjpmYWxzZSwiZHJvcHBpbmctcGFydGljbGUiOiIiLCJub24tZHJvcHBpbmctcGFydGljbGUiOiIifV0sImNvbnRhaW5lci10aXRsZSI6IlJldmlldyBvZiBGaW5hbmNpYWwgU3R1ZGllcyIsIkRPSSI6IjEwLjEwOTMvcmZzL2hoeDAyMCIsImlzc3VlZCI6eyJkYXRlLXBhcnRzIjpbWzIwMTddXX0sInBhZ2UiOiIzNDE2LTM0NTQiLCJwdWJsaXNoZXIiOiJPeGZvcmQgVW5pdmVyc2l0eSBQcmVzcyIsImlzc3VlIjoiMTAiLCJ2b2x1bWUiOiIzMCIsImNvbnRhaW5lci10aXRsZS1zaG9ydCI6IiJ9LCJpc1RlbXBvcmFyeSI6ZmFsc2V9XX0=&quot;,&quot;citationItems&quot;:[{&quot;id&quot;:&quot;2e14c93d-c7a8-3ec7-ab3c-d5aa72c56c29&quot;,&quot;itemData&quot;:{&quot;type&quot;:&quot;article-journal&quot;,&quot;id&quot;:&quot;2e14c93d-c7a8-3ec7-ab3c-d5aa72c56c29&quot;,&quot;title&quot;:&quot;Bank Liquidity Creation and Financial Crises&quot;,&quot;author&quot;:[{&quot;family&quot;:&quot;Berger&quot;,&quot;given&quot;:&quot;Allen N&quot;,&quot;parse-names&quot;:false,&quot;dropping-particle&quot;:&quot;&quot;,&quot;non-dropping-particle&quot;:&quot;&quot;},{&quot;family&quot;:&quot;Bouwman&quot;,&quot;given&quot;:&quot;Christa H S&quot;,&quot;parse-names&quot;:false,&quot;dropping-particle&quot;:&quot;&quot;,&quot;non-dropping-particle&quot;:&quot;&quot;},{&quot;family&quot;:&quot;Kim&quot;,&quot;given&quot;:&quot;Dong&quot;,&quot;parse-names&quot;:false,&quot;dropping-particle&quot;:&quot;&quot;,&quot;non-dropping-particle&quot;:&quot;&quot;},{&quot;family&quot;:&quot;Yan&quot;,&quot;given&quot;:&quot;Shu&quot;,&quot;parse-names&quot;:false,&quot;dropping-particle&quot;:&quot;&quot;,&quot;non-dropping-particle&quot;:&quot;&quot;}],&quot;container-title&quot;:&quot;Review of Financial Studies&quot;,&quot;DOI&quot;:&quot;10.1093/rfs/hhx020&quot;,&quot;issued&quot;:{&quot;date-parts&quot;:[[2017]]},&quot;page&quot;:&quot;3416-3454&quot;,&quot;publisher&quot;:&quot;Oxford University Press&quot;,&quot;issue&quot;:&quot;10&quot;,&quot;volume&quot;:&quot;30&quot;,&quot;container-title-short&quot;:&quot;&quot;},&quot;isTemporary&quot;:false}]},{&quot;citationID&quot;:&quot;MENDELEY_CITATION_b81a19f6-12c3-4121-962c-a2f1dff0cc9f&quot;,&quot;properties&quot;:{&quot;noteIndex&quot;:0},&quot;isEdited&quot;:false,&quot;manualOverride&quot;:{&quot;isManuallyOverridden&quot;:true,&quot;citeprocText&quot;:&quot;(Saif-Alyousfi, 2022)&quot;,&quot;manualOverrideText&quot;:&quot;Saif-Alyousfi, 2022&quot;},&quot;citationTag&quot;:&quot;MENDELEY_CITATION_v3_eyJjaXRhdGlvbklEIjoiTUVOREVMRVlfQ0lUQVRJT05fYjgxYTE5ZjYtMTJjMy00MTIxLTk2MmMtYTJmMWRmZjBjYzlmIiwicHJvcGVydGllcyI6eyJub3RlSW5kZXgiOjB9LCJpc0VkaXRlZCI6ZmFsc2UsIm1hbnVhbE92ZXJyaWRlIjp7ImlzTWFudWFsbHlPdmVycmlkZGVuIjp0cnVlLCJjaXRlcHJvY1RleHQiOiIoU2FpZi1BbHlvdXNmaSwgMjAyMikiLCJtYW51YWxPdmVycmlkZVRleHQiOiJTYWlmLUFseW91c2ZpLCAyMDIyIn0sImNpdGF0aW9uSXRlbXMiOlt7ImlkIjoiYTRkNGE3ZjUtNDQyNy0zYzNhLTk3YjItMzk2YmI4YjIzODQ4IiwiaXRlbURhdGEiOnsidHlwZSI6ImFydGljbGUtam91cm5hbCIsImlkIjoiYTRkNGE3ZjUtNDQyNy0zYzNhLTk3YjItMzk2YmI4YjIzODQ4IiwidGl0bGUiOiJEZXRlcm1pbmFudHMgb2YgQmFuayBQcm9maXRhYmlsaXR5OiBFdmlkZW5jZSBmcm9tIDQ3IEFzaWFuIENvdW50cmllcyIsImF1dGhvciI6W3siZmFtaWx5IjoiU2FpZi1BbHlvdXNmaSIsImdpdmVuIjoiQWJkdWxhemVleiBZIEgiLCJwYXJzZS1uYW1lcyI6ZmFsc2UsImRyb3BwaW5nLXBhcnRpY2xlIjoiIiwibm9uLWRyb3BwaW5nLXBhcnRpY2xlIjoiIn1dLCJjb250YWluZXItdGl0bGUiOiJKb3VybmFsIG9mIEVjb25vbWljIFN0dWRpZXMiLCJET0kiOiIxMC4xMTA4L0pFUy0wNS0yMDIwLTAyMTUiLCJpc3N1ZWQiOnsiZGF0ZS1wYXJ0cyI6W1syMDIyXV19LCJwYWdlIjoiNDQtNjAiLCJwdWJsaXNoZXIiOiJFbWVyYWxkIiwiaXNzdWUiOiIxIiwidm9sdW1lIjoiNDkiLCJjb250YWluZXItdGl0bGUtc2hvcnQiOiIifSwiaXNUZW1wb3JhcnkiOmZhbHNlfV19&quot;,&quot;citationItems&quot;:[{&quot;id&quot;:&quot;a4d4a7f5-4427-3c3a-97b2-396bb8b23848&quot;,&quot;itemData&quot;:{&quot;type&quot;:&quot;article-journal&quot;,&quot;id&quot;:&quot;a4d4a7f5-4427-3c3a-97b2-396bb8b23848&quot;,&quot;title&quot;:&quot;Determinants of Bank Profitability: Evidence from 47 Asian Countries&quot;,&quot;author&quot;:[{&quot;family&quot;:&quot;Saif-Alyousfi&quot;,&quot;given&quot;:&quot;Abdulazeez Y H&quot;,&quot;parse-names&quot;:false,&quot;dropping-particle&quot;:&quot;&quot;,&quot;non-dropping-particle&quot;:&quot;&quot;}],&quot;container-title&quot;:&quot;Journal of Economic Studies&quot;,&quot;DOI&quot;:&quot;10.1108/JES-05-2020-0215&quot;,&quot;issued&quot;:{&quot;date-parts&quot;:[[2022]]},&quot;page&quot;:&quot;44-60&quot;,&quot;publisher&quot;:&quot;Emerald&quot;,&quot;issue&quot;:&quot;1&quot;,&quot;volume&quot;:&quot;49&quot;,&quot;container-title-short&quot;:&quot;&quot;},&quot;isTemporary&quot;:false}]},{&quot;citationID&quot;:&quot;MENDELEY_CITATION_ee44e154-d45f-42f6-bb90-600d9e19aa71&quot;,&quot;properties&quot;:{&quot;noteIndex&quot;:0},&quot;isEdited&quot;:false,&quot;manualOverride&quot;:{&quot;isManuallyOverridden&quot;:true,&quot;citeprocText&quot;:&quot;(Lian et al., 2022)&quot;,&quot;manualOverrideText&quot;:&quot;Lian et al. (2022&quot;},&quot;citationTag&quot;:&quot;MENDELEY_CITATION_v3_eyJjaXRhdGlvbklEIjoiTUVOREVMRVlfQ0lUQVRJT05fZWU0NGUxNTQtZDQ1Zi00MmY2LWJiOTAtNjAwZDllMTlhYTcxIiwicHJvcGVydGllcyI6eyJub3RlSW5kZXgiOjB9LCJpc0VkaXRlZCI6ZmFsc2UsIm1hbnVhbE92ZXJyaWRlIjp7ImlzTWFudWFsbHlPdmVycmlkZGVuIjp0cnVlLCJjaXRlcHJvY1RleHQiOiIoTGlhbiBldCBhbC4sIDIwMjIpIiwibWFudWFsT3ZlcnJpZGVUZXh0IjoiTGlhbiBldCBhbC4gKDIwMjIifSwiY2l0YXRpb25JdGVtcyI6W3siaWQiOiI1NWIwYjVjNS0wZDM1LTNjOTctYjZiYi0zZDJiYWU3NTUyYmIiLCJpdGVtRGF0YSI6eyJ0eXBlIjoiYXJ0aWNsZS1qb3VybmFsIiwiaWQiOiI1NWIwYjVjNS0wZDM1LTNjOTctYjZiYi0zZDJiYWU3NTUyYmIiLCJ0aXRsZSI6IlRoZSBJbXBhY3Qgb2YgR3JlZW4gQ3JlZGl0IG9uIHRoZSBQcm9maXRhYmlsaXR5IG9mIENvbW1lcmNpYWwgQmFua3MgaW4gQ2hpbmEiLCJhdXRob3IiOlt7ImZhbWlseSI6IkxpYW4iLCJnaXZlbiI6IllvbmdodWkiLCJwYXJzZS1uYW1lcyI6ZmFsc2UsImRyb3BwaW5nLXBhcnRpY2xlIjoiIiwibm9uLWRyb3BwaW5nLXBhcnRpY2xlIjoiIn0seyJmYW1pbHkiOiJHYW8iLCJnaXZlbiI6IkppZXlpbmciLCJwYXJzZS1uYW1lcyI6ZmFsc2UsImRyb3BwaW5nLXBhcnRpY2xlIjoiIiwibm9uLWRyb3BwaW5nLXBhcnRpY2xlIjoiIn0seyJmYW1pbHkiOiJZZSIsImdpdmVuIjoiVGFvIiwicGFyc2UtbmFtZXMiOmZhbHNlLCJkcm9wcGluZy1wYXJ0aWNsZSI6IiIsIm5vbi1kcm9wcGluZy1wYXJ0aWNsZSI6IiJ9XSwiY29udGFpbmVyLXRpdGxlIjoiU3VzdGFpbmFiaWxpdHkiLCJjb250YWluZXItdGl0bGUtc2hvcnQiOiJTdXN0YWluYWJpbGl0eSIsIkRPSSI6IjEwLjMzOTAvc3UxNDE1OTUzMSIsImlzc3VlZCI6eyJkYXRlLXBhcnRzIjpbWzIwMjJdXX0sInBhZ2UiOiI5NTMxIiwiaXNzdWUiOiIxNSIsInZvbHVtZSI6IjE0In0sImlzVGVtcG9yYXJ5IjpmYWxzZX1dfQ==&quot;,&quot;citationItems&quot;:[{&quot;id&quot;:&quot;55b0b5c5-0d35-3c97-b6bb-3d2bae7552bb&quot;,&quot;itemData&quot;:{&quot;type&quot;:&quot;article-journal&quot;,&quot;id&quot;:&quot;55b0b5c5-0d35-3c97-b6bb-3d2bae7552bb&quot;,&quot;title&quot;:&quot;The Impact of Green Credit on the Profitability of Commercial Banks in China&quot;,&quot;author&quot;:[{&quot;family&quot;:&quot;Lian&quot;,&quot;given&quot;:&quot;Yonghui&quot;,&quot;parse-names&quot;:false,&quot;dropping-particle&quot;:&quot;&quot;,&quot;non-dropping-particle&quot;:&quot;&quot;},{&quot;family&quot;:&quot;Gao&quot;,&quot;given&quot;:&quot;Jieying&quot;,&quot;parse-names&quot;:false,&quot;dropping-particle&quot;:&quot;&quot;,&quot;non-dropping-particle&quot;:&quot;&quot;},{&quot;family&quot;:&quot;Ye&quot;,&quot;given&quot;:&quot;Tao&quot;,&quot;parse-names&quot;:false,&quot;dropping-particle&quot;:&quot;&quot;,&quot;non-dropping-particle&quot;:&quot;&quot;}],&quot;container-title&quot;:&quot;Sustainability&quot;,&quot;container-title-short&quot;:&quot;Sustainability&quot;,&quot;DOI&quot;:&quot;10.3390/su14159531&quot;,&quot;issued&quot;:{&quot;date-parts&quot;:[[2022]]},&quot;page&quot;:&quot;9531&quot;,&quot;issue&quot;:&quot;15&quot;,&quot;volume&quot;:&quot;14&quot;},&quot;isTemporary&quot;:false}]},{&quot;citationID&quot;:&quot;MENDELEY_CITATION_b886451c-3d12-4350-a8ac-9fc4ef4738ce&quot;,&quot;properties&quot;:{&quot;noteIndex&quot;:0},&quot;isEdited&quot;:false,&quot;manualOverride&quot;:{&quot;isManuallyOverridden&quot;:true,&quot;citeprocText&quot;:&quot;(Mirza &amp;#38; others, 2023)&quot;,&quot;manualOverrideText&quot;:&quot;Mirza et al. (2023)&quot;},&quot;citationTag&quot;:&quot;MENDELEY_CITATION_v3_eyJjaXRhdGlvbklEIjoiTUVOREVMRVlfQ0lUQVRJT05fYjg4NjQ1MWMtM2QxMi00MzUwLWE4YWMtOWZjNGVmNDczOGNlIiwicHJvcGVydGllcyI6eyJub3RlSW5kZXgiOjB9LCJpc0VkaXRlZCI6ZmFsc2UsIm1hbnVhbE92ZXJyaWRlIjp7ImlzTWFudWFsbHlPdmVycmlkZGVuIjp0cnVlLCJjaXRlcHJvY1RleHQiOiIoTWlyemEgJiMzODsgb3RoZXJzLCAyMDIzKSIsIm1hbnVhbE92ZXJyaWRlVGV4dCI6Ik1pcnphIGV0IGFsLiAoMjAyMykifSwiY2l0YXRpb25JdGVtcyI6W3siaWQiOiIyYzQ5NDE4YS1jZTc1LTM0NTUtODNkYS1lZDkyMjM3ZmRmOGUiLCJpdGVtRGF0YSI6eyJ0eXBlIjoiYXJ0aWNsZS1qb3VybmFsIiwiaWQiOiIyYzQ5NDE4YS1jZTc1LTM0NTUtODNkYS1lZDkyMjM3ZmRmOGUiLCJ0aXRsZSI6IkdyZWVuIENyZWRpdCBhbmQgU01FIEZpbmFuY2luZyBpbiBCUklDIENvdW50cmllcyIsImF1dGhvciI6W3siZmFtaWx5IjoiTWlyemEiLCJnaXZlbiI6Ik5hd2F6aXNo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NdXX19LCJpc1RlbXBvcmFyeSI6ZmFsc2V9XX0=&quot;,&quot;citationItems&quot;:[{&quot;id&quot;:&quot;2c49418a-ce75-3455-83da-ed92237fdf8e&quot;,&quot;itemData&quot;:{&quot;type&quot;:&quot;article-journal&quot;,&quot;id&quot;:&quot;2c49418a-ce75-3455-83da-ed92237fdf8e&quot;,&quot;title&quot;:&quot;Green Credit and SME Financing in BRIC Countries&quot;,&quot;author&quot;:[{&quot;family&quot;:&quot;Mirza&quot;,&quot;given&quot;:&quot;Nawazish&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3]]}},&quot;isTemporary&quot;:false}]},{&quot;citationID&quot;:&quot;MENDELEY_CITATION_9bba976a-d8ff-443b-aa9f-d2e910a48756&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OWJiYTk3NmEtZDhmZi00NDNiLWFhOWYtZDJlOTEwYTQ4NzU2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388cde9e-28e4-4643-969c-5608251f5cf0&quot;,&quot;properties&quot;:{&quot;noteIndex&quot;:0},&quot;isEdited&quot;:false,&quot;manualOverride&quot;:{&quot;isManuallyOverridden&quot;:true,&quot;citeprocText&quot;:&quot;(Andaiyani &amp;#38; others, 2023)&quot;,&quot;manualOverrideText&quot;:&quot;Andaiyani et al. (2023)&quot;},&quot;citationTag&quot;:&quot;MENDELEY_CITATION_v3_eyJjaXRhdGlvbklEIjoiTUVOREVMRVlfQ0lUQVRJT05fMzg4Y2RlOWUtMjhlNC00NjQzLTk2OWMtNTYwODI1MWY1Y2YwIiwicHJvcGVydGllcyI6eyJub3RlSW5kZXgiOjB9LCJpc0VkaXRlZCI6ZmFsc2UsIm1hbnVhbE92ZXJyaWRlIjp7ImlzTWFudWFsbHlPdmVycmlkZGVuIjp0cnVlLCJjaXRlcHJvY1RleHQiOiIoQW5kYWl5YW5pICYjMzg7IG90aGVycywgMjAyMykiLCJtYW51YWxPdmVycmlkZVRleHQiOiJBbmRhaXlhbmkgZXQgYWwuICgyMDIzKSJ9LCJjaXRhdGlvbkl0ZW1zIjpbeyJpZCI6ImM0YjBlZTJhLTFkNGYtMzRiZS1iYmYzLWEyZDVlNTEwMzc0MiIsIml0ZW1EYXRhIjp7InR5cGUiOiJhcnRpY2xlLWpvdXJuYWwiLCJpZCI6ImM0YjBlZTJhLTFkNGYtMzRiZS1iYmYzLWEyZDVlNTEwMzc0MiIsInRpdGxlIjoiVGhlIEltcGFjdCBvZiBHcmVlbiBMb2FucyBvbiB0aGUgRmluYW5jaWFsIFBlcmZvcm1hbmNlIG9mIENvbnZlbnRpb25hbCBCYW5rcyBpbiBJbmRvbmVzaWEiLCJhdXRob3IiOlt7ImZhbWlseSI6IkFuZGFpeWFuaSIsImdpdmVuIjoiU3JpIiwicGFyc2UtbmFtZXMiOmZhbHNlLCJkcm9wcGluZy1wYXJ0aWNsZSI6IiIsIm5vbi1kcm9wcGluZy1wYXJ0aWNsZSI6IiJ9LHsiZmFtaWx5Ijoib3RoZXJzIiwiZ2l2ZW4iOiIiLCJwYXJzZS1uYW1lcyI6ZmFsc2UsImRyb3BwaW5nLXBhcnRpY2xlIjoiIiwibm9uLWRyb3BwaW5nLXBhcnRpY2xlIjoiIn1dLCJjb250YWluZXItdGl0bGUiOiJJbmRvbmVzaWFuIEpvdXJuYWwgb2YgU3VzdGFpbmFibGUgRmluYW5jZSIsImlzc3VlZCI6eyJkYXRlLXBhcnRzIjpbWzIwMjNdXX0sImNvbnRhaW5lci10aXRsZS1zaG9ydCI6IiJ9LCJpc1RlbXBvcmFyeSI6ZmFsc2V9XX0=&quot;,&quot;citationItems&quot;:[{&quot;id&quot;:&quot;c4b0ee2a-1d4f-34be-bbf3-a2d5e5103742&quot;,&quot;itemData&quot;:{&quot;type&quot;:&quot;article-journal&quot;,&quot;id&quot;:&quot;c4b0ee2a-1d4f-34be-bbf3-a2d5e5103742&quot;,&quot;title&quot;:&quot;The Impact of Green Loans on the Financial Performance of Conventional Banks in Indonesia&quot;,&quot;author&quot;:[{&quot;family&quot;:&quot;Andaiyani&quot;,&quot;given&quot;:&quot;Sri&quot;,&quot;parse-names&quot;:false,&quot;dropping-particle&quot;:&quot;&quot;,&quot;non-dropping-particle&quot;:&quot;&quot;},{&quot;family&quot;:&quot;others&quot;,&quot;given&quot;:&quot;&quot;,&quot;parse-names&quot;:false,&quot;dropping-particle&quot;:&quot;&quot;,&quot;non-dropping-particle&quot;:&quot;&quot;}],&quot;container-title&quot;:&quot;Indonesian Journal of Sustainable Finance&quot;,&quot;issued&quot;:{&quot;date-parts&quot;:[[2023]]},&quot;container-title-short&quot;:&quot;&quot;},&quot;isTemporary&quot;:false}]},{&quot;citationID&quot;:&quot;MENDELEY_CITATION_e41dfede-cf26-4dc8-88cc-897a4642f483&quot;,&quot;properties&quot;:{&quot;noteIndex&quot;:0},&quot;isEdited&quot;:false,&quot;manualOverride&quot;:{&quot;isManuallyOverridden&quot;:true,&quot;citeprocText&quot;:&quot;(Galán &amp;#38; Tan, 2024)&quot;,&quot;manualOverrideText&quot;:&quot;Galán &amp; Tan (2024)&quot;},&quot;citationTag&quot;:&quot;MENDELEY_CITATION_v3_eyJjaXRhdGlvbklEIjoiTUVOREVMRVlfQ0lUQVRJT05fZTQxZGZlZGUtY2YyNi00ZGM4LTg4Y2MtODk3YTQ2NDJmNDgzIiwicHJvcGVydGllcyI6eyJub3RlSW5kZXgiOjB9LCJpc0VkaXRlZCI6ZmFsc2UsIm1hbnVhbE92ZXJyaWRlIjp7ImlzTWFudWFsbHlPdmVycmlkZGVuIjp0cnVlLCJjaXRlcHJvY1RleHQiOiIoR2Fsw6FuICYjMzg7IFRhbiwgMjAyNCkiLCJtYW51YWxPdmVycmlkZVRleHQiOiJHYWzDoW4gJiBUYW4gKDIwMjQpIn0sImNpdGF0aW9uSXRlbXMiOlt7ImlkIjoiZDYyM2VlMWEtNDBhMi0zOGRhLTk0M2EtMjdjM2UyMGIyYjliIiwiaXRlbURhdGEiOnsidHlwZSI6ImFydGljbGUtam91cm5hbCIsImlkIjoiZDYyM2VlMWEtNDBhMi0zOGRhLTk0M2EtMjdjM2UyMGIyYjliIiwidGl0bGUiOiJHcmVlbiBDcmVkaXQgYW5kIEJhbmsgRWZmaWNpZW5jeTogRXZpZGVuY2UgZnJvbSBDaGluYSIsImF1dGhvciI6W3siZmFtaWx5IjoiR2Fsw6FuIiwiZ2l2ZW4iOiJKb3JnZSBFIiwicGFyc2UtbmFtZXMiOmZhbHNlLCJkcm9wcGluZy1wYXJ0aWNsZSI6IiIsIm5vbi1kcm9wcGluZy1wYXJ0aWNsZSI6IiJ9LHsiZmFtaWx5IjoiVGFuIiwiZ2l2ZW4iOiJZb25nIiwicGFyc2UtbmFtZXMiOmZhbHNlLCJkcm9wcGluZy1wYXJ0aWNsZSI6IiIsIm5vbi1kcm9wcGluZy1wYXJ0aWNsZSI6IiJ9XSwiY29udGFpbmVyLXRpdGxlIjoiRW5lcmd5IEVjb25vbWljcyIsImNvbnRhaW5lci10aXRsZS1zaG9ydCI6IkVuZXJneSBFY29uLiIsImlzc3VlZCI6eyJkYXRlLXBhcnRzIjpbWzIwMjRdXX19LCJpc1RlbXBvcmFyeSI6ZmFsc2V9XX0=&quot;,&quot;citationItems&quot;:[{&quot;id&quot;:&quot;d623ee1a-40a2-38da-943a-27c3e20b2b9b&quot;,&quot;itemData&quot;:{&quot;type&quot;:&quot;article-journal&quot;,&quot;id&quot;:&quot;d623ee1a-40a2-38da-943a-27c3e20b2b9b&quot;,&quot;title&quot;:&quot;Green Credit and Bank Efficiency: Evidence from China&quot;,&quot;author&quot;:[{&quot;family&quot;:&quot;Galán&quot;,&quot;given&quot;:&quot;Jorge E&quot;,&quot;parse-names&quot;:false,&quot;dropping-particle&quot;:&quot;&quot;,&quot;non-dropping-particle&quot;:&quot;&quot;},{&quot;family&quot;:&quot;Tan&quot;,&quot;given&quot;:&quot;Yong&quot;,&quot;parse-names&quot;:false,&quot;dropping-particle&quot;:&quot;&quot;,&quot;non-dropping-particle&quot;:&quot;&quot;}],&quot;container-title&quot;:&quot;Energy Economics&quot;,&quot;container-title-short&quot;:&quot;Energy Econ.&quot;,&quot;issued&quot;:{&quot;date-parts&quot;:[[2024]]}},&quot;isTemporary&quot;:false}]},{&quot;citationID&quot;:&quot;MENDELEY_CITATION_22eee973-80e5-40ef-9188-6d58441627da&quot;,&quot;properties&quot;:{&quot;noteIndex&quot;:0},&quot;isEdited&quot;:false,&quot;manualOverride&quot;:{&quot;isManuallyOverridden&quot;:true,&quot;citeprocText&quot;:&quot;(Zhou &amp;#38; others, 2024)&quot;,&quot;manualOverrideText&quot;:&quot;Zhou et al., (2024)&quot;},&quot;citationTag&quot;:&quot;MENDELEY_CITATION_v3_eyJjaXRhdGlvbklEIjoiTUVOREVMRVlfQ0lUQVRJT05fMjJlZWU5NzMtODBlNS00MGVmLTkxODgtNmQ1ODQ0MTYyN2RhIiwicHJvcGVydGllcyI6eyJub3RlSW5kZXgiOjB9LCJpc0VkaXRlZCI6ZmFsc2UsIm1hbnVhbE92ZXJyaWRlIjp7ImlzTWFudWFsbHlPdmVycmlkZGVuIjp0cnVlLCJjaXRlcHJvY1RleHQiOiIoWmhvdSAmIzM4OyBvdGhlcnMsIDIwMjQpIiwibWFudWFsT3ZlcnJpZGVUZXh0IjoiWmhvdSBldCBhbC4sICgyMDI0KSJ9LCJjaXRhdGlvbkl0ZW1zIjpbeyJpZCI6ImYyNDNjYWNjLTQ2ZjktM2YyMC05NmYyLWUwZjM4ZGVlZDQ3ZSIsIml0ZW1EYXRhIjp7InR5cGUiOiJhcnRpY2xlLWpvdXJuYWwiLCJpZCI6ImYyNDNjYWNjLTQ2ZjktM2YyMC05NmYyLWUwZjM4ZGVlZDQ3ZSIsInRpdGxlIjoiR3JlZW4gQ3JlZGl0IFBvbGljeSBhbmQgdGhlIENvc3QgRWZmaWNpZW5jeSBvZiBDaGluZXNlIENvbW1lcmNpYWwgQmFua3MiLCJhdXRob3IiOlt7ImZhbWlseSI6Ilpob3UiLCJnaXZlbiI6IlgiLCJwYXJzZS1uYW1lcyI6ZmFsc2UsImRyb3BwaW5nLXBhcnRpY2xlIjoiIiwibm9uLWRyb3BwaW5nLXBhcnRpY2xlIjoiIn0seyJmYW1pbHkiOiJvdGhlcnMiLCJnaXZlbiI6IiIsInBhcnNlLW5hbWVzIjpmYWxzZSwiZHJvcHBpbmctcGFydGljbGUiOiIiLCJub24tZHJvcHBpbmctcGFydGljbGUiOiIifV0sImNvbnRhaW5lci10aXRsZSI6IkNoaW5hIEVjb25vbWljIFJldmlldyIsImlzc3VlZCI6eyJkYXRlLXBhcnRzIjpbWzIwMjRdXX0sImNvbnRhaW5lci10aXRsZS1zaG9ydCI6IiJ9LCJpc1RlbXBvcmFyeSI6ZmFsc2V9XX0=&quot;,&quot;citationItems&quot;:[{&quot;id&quot;:&quot;f243cacc-46f9-3f20-96f2-e0f38deed47e&quot;,&quot;itemData&quot;:{&quot;type&quot;:&quot;article-journal&quot;,&quot;id&quot;:&quot;f243cacc-46f9-3f20-96f2-e0f38deed47e&quot;,&quot;title&quot;:&quot;Green Credit Policy and the Cost Efficiency of Chinese Commercial Banks&quot;,&quot;author&quot;:[{&quot;family&quot;:&quot;Zhou&quot;,&quot;given&quot;:&quot;X&quot;,&quot;parse-names&quot;:false,&quot;dropping-particle&quot;:&quot;&quot;,&quot;non-dropping-particle&quot;:&quot;&quot;},{&quot;family&quot;:&quot;others&quot;,&quot;given&quot;:&quot;&quot;,&quot;parse-names&quot;:false,&quot;dropping-particle&quot;:&quot;&quot;,&quot;non-dropping-particle&quot;:&quot;&quot;}],&quot;container-title&quot;:&quot;China Economic Review&quot;,&quot;issued&quot;:{&quot;date-parts&quot;:[[2024]]},&quot;container-title-short&quot;:&quot;&quot;},&quot;isTemporary&quot;:false}]},{&quot;citationID&quot;:&quot;MENDELEY_CITATION_1a7bb4ff-2af1-44e4-b4af-e08b3984a065&quot;,&quot;properties&quot;:{&quot;noteIndex&quot;:0},&quot;isEdited&quot;:false,&quot;manualOverride&quot;:{&quot;isManuallyOverridden&quot;:true,&quot;citeprocText&quot;:&quot;(Siauwijaya &amp;#38; others, 2024)&quot;,&quot;manualOverrideText&quot;:&quot;Siauwijaya et al. (2024)&quot;},&quot;citationTag&quot;:&quot;MENDELEY_CITATION_v3_eyJjaXRhdGlvbklEIjoiTUVOREVMRVlfQ0lUQVRJT05fMWE3YmI0ZmYtMmFmMS00NGU0LWI0YWYtZTA4YjM5ODRhMDY1IiwicHJvcGVydGllcyI6eyJub3RlSW5kZXgiOjB9LCJpc0VkaXRlZCI6ZmFsc2UsIm1hbnVhbE92ZXJyaWRlIjp7ImlzTWFudWFsbHlPdmVycmlkZGVuIjp0cnVlLCJjaXRlcHJvY1RleHQiOiIoU2lhdXdpamF5YSAmIzM4OyBvdGhlcnMsIDIwMjQpIiwibWFudWFsT3ZlcnJpZGVUZXh0IjoiU2lhdXdpamF5YSBldCBhbC4gKDIwMjQpIn0sImNpdGF0aW9uSXRlbXMiOlt7ImlkIjoiNTgwZTFiMDMtNTlmYy0zNTMxLTllOGYtZDRlYWU3ZThlZWNkIiwiaXRlbURhdGEiOnsidHlwZSI6ImFydGljbGUtam91cm5hbCIsImlkIjoiNTgwZTFiMDMtNTlmYy0zNTMxLTllOGYtZDRlYWU3ZThlZWNkIiwidGl0bGUiOiJDcm9zcy1Db3VudHJ5IEV2aWRlbmNlIG9uIEdyZWVuIENyZWRpdCBhbmQgQmFuayBQZXJmb3JtYW5jZSIsImF1dGhvciI6W3siZmFtaWx5IjoiU2lhdXdpamF5YSIsImdpdmVuIjoiQSIsInBhcnNlLW5hbWVzIjpmYWxzZSwiZHJvcHBpbmctcGFydGljbGUiOiIiLCJub24tZHJvcHBpbmctcGFydGljbGUiOiIifSx7ImZhbWlseSI6Im90aGVycyIsImdpdmVuIjoiIiwicGFyc2UtbmFtZXMiOmZhbHNlLCJkcm9wcGluZy1wYXJ0aWNsZSI6IiIsIm5vbi1kcm9wcGluZy1wYXJ0aWNsZSI6IiJ9XSwiY29udGFpbmVyLXRpdGxlIjoiRmluYW5jZSBSZXNlYXJjaCBMZXR0ZXJzIiwiY29udGFpbmVyLXRpdGxlLXNob3J0IjoiRmluYW5jLiBSZXMuIExldHQuIiwiaXNzdWVkIjp7ImRhdGUtcGFydHMiOltbMjAyNF1dfX0sImlzVGVtcG9yYXJ5IjpmYWxzZX1dfQ==&quot;,&quot;citationItems&quot;:[{&quot;id&quot;:&quot;580e1b03-59fc-3531-9e8f-d4eae7e8eecd&quot;,&quot;itemData&quot;:{&quot;type&quot;:&quot;article-journal&quot;,&quot;id&quot;:&quot;580e1b03-59fc-3531-9e8f-d4eae7e8eecd&quot;,&quot;title&quot;:&quot;Cross-Country Evidence on Green Credit and Bank Performance&quot;,&quot;author&quot;:[{&quot;family&quot;:&quot;Siauwijaya&quot;,&quot;given&quot;:&quot;A&quot;,&quot;parse-names&quot;:false,&quot;dropping-particle&quot;:&quot;&quot;,&quot;non-dropping-particle&quot;:&quot;&quot;},{&quot;family&quot;:&quot;others&quot;,&quot;given&quot;:&quot;&quot;,&quot;parse-names&quot;:false,&quot;dropping-particle&quot;:&quot;&quot;,&quot;non-dropping-particle&quot;:&quot;&quot;}],&quot;container-title&quot;:&quot;Finance Research Letters&quot;,&quot;container-title-short&quot;:&quot;Financ. Res. Lett.&quot;,&quot;issued&quot;:{&quot;date-parts&quot;:[[2024]]}},&quot;isTemporary&quot;:false}]},{&quot;citationID&quot;:&quot;MENDELEY_CITATION_20ea8330-64c9-4b03-b31b-dca18555784c&quot;,&quot;properties&quot;:{&quot;noteIndex&quot;:0},&quot;isEdited&quot;:false,&quot;manualOverride&quot;:{&quot;isManuallyOverridden&quot;:true,&quot;citeprocText&quot;:&quot;(R. S. Riyanti, 2025)&quot;,&quot;manualOverrideText&quot;:&quot;Riyanti (2025)&quot;},&quot;citationTag&quot;:&quot;MENDELEY_CITATION_v3_eyJjaXRhdGlvbklEIjoiTUVOREVMRVlfQ0lUQVRJT05fMjBlYTgzMzAtNjRjOS00YjAzLWIzMWItZGNhMTg1NTU3ODRjIiwicHJvcGVydGllcyI6eyJub3RlSW5kZXgiOjB9LCJpc0VkaXRlZCI6ZmFsc2UsIm1hbnVhbE92ZXJyaWRlIjp7ImlzTWFudWFsbHlPdmVycmlkZGVuIjp0cnVlLCJjaXRlcHJvY1RleHQiOiIoUi4gUy4gUml5YW50aSwgMjAyNSkiLCJtYW51YWxPdmVycmlkZVRleHQiOiJSaXlhbnRpICgyMDI1KSJ9LCJjaXRhdGlvbkl0ZW1zIjpbeyJpZCI6ImFmOTU3NWNkLTI1MzAtM2IzMi05NTE3LTk0ZjNkYTU3OGQ5OCIsIml0ZW1EYXRhIjp7InR5cGUiOiJhcnRpY2xlLWpvdXJuYWwiLCJpZCI6ImFmOTU3NWNkLTI1MzAtM2IzMi05NTE3LTk0ZjNkYTU3OGQ5OCIsInRpdGxlIjoiR3JlZW4gbG9hbnM6IE5hdmlnYXRpbmcgdGhlIHBhdGggdG8gc3VzdGFpbmFibGUgcHJvZml0YWJpbGl0eSBpbiBiYW5raW5nIiwiYXV0aG9yIjpbeyJmYW1pbHkiOiJSaXlhbnRpIiwiZ2l2ZW4iOiJSIFMiLCJwYXJzZS1uYW1lcyI6ZmFsc2UsImRyb3BwaW5nLXBhcnRpY2xlIjoiIiwibm9uLWRyb3BwaW5nLXBhcnRpY2xlIjoiIn1dLCJjb250YWluZXItdGl0bGUiOiJFY29ub21pYyBBbmFseXNpcyBhbmQgUG9saWN5IiwiY29udGFpbmVyLXRpdGxlLXNob3J0IjoiRWNvbi4gQW5hbC4gUG9saWN5IiwiRE9JIjoiMTAuMTAxNi9qLmVhcC4yMDI1LjAxLjAyOCIsIklTU04iOiIyMjA0LTIyOTYiLCJVUkwiOiJodHRwczovL2FwaS5lbHNldmllci5jb20vY29udGVudC9hcnRpY2xlL2VpZC8xLXMyLjAtUzAzMTM1OTI2MjUwMDAyODEiLCJpc3N1ZWQiOnsiZGF0ZS1wYXJ0cyI6W1syMDI1XV19LCJwYWdlIjoiMTYxMy0xNjI0Iiwidm9sdW1lIjoiODUifSwiaXNUZW1wb3JhcnkiOmZhbHNlfV19&quot;,&quot;citationItems&quot;:[{&quot;id&quot;:&quot;af9575cd-2530-3b32-9517-94f3da578d98&quot;,&quot;itemData&quot;:{&quot;type&quot;:&quot;article-journal&quot;,&quot;id&quot;:&quot;af9575cd-2530-3b32-9517-94f3da578d98&quot;,&quot;title&quot;:&quot;Green loans: Navigating the path to sustainable profitability in banking&quot;,&quot;author&quot;:[{&quot;family&quot;:&quot;Riyanti&quot;,&quot;given&quot;:&quot;R S&quot;,&quot;parse-names&quot;:false,&quot;dropping-particle&quot;:&quot;&quot;,&quot;non-dropping-particle&quot;:&quot;&quot;}],&quot;container-title&quot;:&quot;Economic Analysis and Policy&quot;,&quot;container-title-short&quot;:&quot;Econ. Anal. Policy&quot;,&quot;DOI&quot;:&quot;10.1016/j.eap.2025.01.028&quot;,&quot;ISSN&quot;:&quot;2204-2296&quot;,&quot;URL&quot;:&quot;https://api.elsevier.com/content/article/eid/1-s2.0-S0313592625000281&quot;,&quot;issued&quot;:{&quot;date-parts&quot;:[[2025]]},&quot;page&quot;:&quot;1613-1624&quot;,&quot;volume&quot;:&quot;85&quot;},&quot;isTemporary&quot;:false}]},{&quot;citationID&quot;:&quot;MENDELEY_CITATION_4c5c30c8-a538-48b8-abc9-c1e61b8c6d56&quot;,&quot;properties&quot;:{&quot;noteIndex&quot;:0},&quot;isEdited&quot;:false,&quot;manualOverride&quot;:{&quot;isManuallyOverridden&quot;:true,&quot;citeprocText&quot;:&quot;(Suganthi &amp;#38; others, 2025)&quot;,&quot;manualOverrideText&quot;:&quot;Suganthi et al, 2025)&quot;},&quot;citationTag&quot;:&quot;MENDELEY_CITATION_v3_eyJjaXRhdGlvbklEIjoiTUVOREVMRVlfQ0lUQVRJT05fNGM1YzMwYzgtYTUzOC00OGI4LWFiYzktYzFlNjFiOGM2ZDU2IiwicHJvcGVydGllcyI6eyJub3RlSW5kZXgiOjB9LCJpc0VkaXRlZCI6ZmFsc2UsIm1hbnVhbE92ZXJyaWRlIjp7ImlzTWFudWFsbHlPdmVycmlkZGVuIjp0cnVlLCJjaXRlcHJvY1RleHQiOiIoU3VnYW50aGkgJiMzODsgb3RoZXJzLCAyMDI1KSIsIm1hbnVhbE92ZXJyaWRlVGV4dCI6IlN1Z2FudGhpIGV0IGFsLCAyMDI1KSJ9LCJjaXRhdGlvbkl0ZW1zIjpbeyJpZCI6ImRiOWMwNDQyLTIwYjktMzAzYy1hMDMwLTkwNTdlMzYwZTU1NyIsIml0ZW1EYXRhIjp7InR5cGUiOiJhcnRpY2xlLWpvdXJuYWwiLCJpZCI6ImRiOWMwNDQyLTIwYjktMzAzYy1hMDMwLTkwNTdlMzYwZTU1NyIsInRpdGxlIjoiTWV0YS1BbmFseXNpcyBvZiBHcmVlbiBCYW5raW5nIGFuZCBQcm9maXRhYmlsaXR5OiBBIFN0dWR5IG9mIDE1OSBCYW5rcyBBY3Jvc3MgNDIgQ291bnRyaWVzIiwiYXV0aG9yIjpbeyJmYW1pbHkiOiJTdWdhbnRoaSIsImdpdmVuIjoiUCIsInBhcnNlLW5hbWVzIjpmYWxzZSwiZHJvcHBpbmctcGFydGljbGUiOiIiLCJub24tZHJvcHBpbmctcGFydGljbGUiOiIifSx7ImZhbWlseSI6Im90aGVycyIsImdpdmVuIjoiIiwicGFyc2UtbmFtZXMiOmZhbHNlLCJkcm9wcGluZy1wYXJ0aWNsZSI6IiIsIm5vbi1kcm9wcGluZy1wYXJ0aWNsZSI6IiJ9XSwiY29udGFpbmVyLXRpdGxlIjoiSm91cm5hbCBvZiBDbGVhbmVyIFByb2R1Y3Rpb24iLCJjb250YWluZXItdGl0bGUtc2hvcnQiOiJKLiBDbGVhbi4gUHJvZC4iLCJpc3N1ZWQiOnsiZGF0ZS1wYXJ0cyI6W1syMDI1XV19fSwiaXNUZW1wb3JhcnkiOmZhbHNlfV19&quot;,&quot;citationItems&quot;:[{&quot;id&quot;:&quot;db9c0442-20b9-303c-a030-9057e360e557&quot;,&quot;itemData&quot;:{&quot;type&quot;:&quot;article-journal&quot;,&quot;id&quot;:&quot;db9c0442-20b9-303c-a030-9057e360e557&quot;,&quot;title&quot;:&quot;Meta-Analysis of Green Banking and Profitability: A Study of 159 Banks Across 42 Countries&quot;,&quot;author&quot;:[{&quot;family&quot;:&quot;Suganthi&quot;,&quot;given&quot;:&quot;P&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5]]}},&quot;isTemporary&quot;:false}]},{&quot;citationID&quot;:&quot;MENDELEY_CITATION_6cdd8b8c-570e-4a74-af7a-9da6a6f82074&quot;,&quot;properties&quot;:{&quot;noteIndex&quot;:0},&quot;isEdited&quot;:false,&quot;manualOverride&quot;:{&quot;isManuallyOverridden&quot;:true,&quot;citeprocText&quot;:&quot;(Suganthi &amp;#38; others, 2025)&quot;,&quot;manualOverrideText&quot;:&quot;Suganthi et al. (2025)&quot;},&quot;citationTag&quot;:&quot;MENDELEY_CITATION_v3_eyJjaXRhdGlvbklEIjoiTUVOREVMRVlfQ0lUQVRJT05fNmNkZDhiOGMtNTcwZS00YTc0LWFmN2EtOWRhNmE2ZjgyMDc0IiwicHJvcGVydGllcyI6eyJub3RlSW5kZXgiOjB9LCJpc0VkaXRlZCI6ZmFsc2UsIm1hbnVhbE92ZXJyaWRlIjp7ImlzTWFudWFsbHlPdmVycmlkZGVuIjp0cnVlLCJjaXRlcHJvY1RleHQiOiIoU3VnYW50aGkgJiMzODsgb3RoZXJzLCAyMDI1KSIsIm1hbnVhbE92ZXJyaWRlVGV4dCI6IlN1Z2FudGhpIGV0IGFsLiAoMjAyNSkifSwiY2l0YXRpb25JdGVtcyI6W3siaWQiOiJkYjljMDQ0Mi0yMGI5LTMwM2MtYTAzMC05MDU3ZTM2MGU1NTciLCJpdGVtRGF0YSI6eyJ0eXBlIjoiYXJ0aWNsZS1qb3VybmFsIiwiaWQiOiJkYjljMDQ0Mi0yMGI5LTMwM2MtYTAzMC05MDU3ZTM2MGU1NTciLCJ0aXRsZSI6Ik1ldGEtQW5hbHlzaXMgb2YgR3JlZW4gQmFua2luZyBhbmQgUHJvZml0YWJpbGl0eTogQSBTdHVkeSBvZiAxNTkgQmFua3MgQWNyb3NzIDQyIENvdW50cmllcyIsImF1dGhvciI6W3siZmFtaWx5IjoiU3VnYW50aGkiLCJnaXZlbiI6IlAiLCJwYXJzZS1uYW1lcyI6ZmFsc2UsImRyb3BwaW5nLXBhcnRpY2xlIjoiIiwibm9uLWRyb3BwaW5nLXBhcnRpY2xlIjoiIn0seyJmYW1pbHkiOiJvdGhlcnMiLCJnaXZlbiI6IiIsInBhcnNlLW5hbWVzIjpmYWxzZSwiZHJvcHBpbmctcGFydGljbGUiOiIiLCJub24tZHJvcHBpbmctcGFydGljbGUiOiIifV0sImNvbnRhaW5lci10aXRsZSI6IkpvdXJuYWwgb2YgQ2xlYW5lciBQcm9kdWN0aW9uIiwiY29udGFpbmVyLXRpdGxlLXNob3J0IjoiSi4gQ2xlYW4uIFByb2QuIiwiaXNzdWVkIjp7ImRhdGUtcGFydHMiOltbMjAyNV1dfX0sImlzVGVtcG9yYXJ5IjpmYWxzZX1dfQ==&quot;,&quot;citationItems&quot;:[{&quot;id&quot;:&quot;db9c0442-20b9-303c-a030-9057e360e557&quot;,&quot;itemData&quot;:{&quot;type&quot;:&quot;article-journal&quot;,&quot;id&quot;:&quot;db9c0442-20b9-303c-a030-9057e360e557&quot;,&quot;title&quot;:&quot;Meta-Analysis of Green Banking and Profitability: A Study of 159 Banks Across 42 Countries&quot;,&quot;author&quot;:[{&quot;family&quot;:&quot;Suganthi&quot;,&quot;given&quot;:&quot;P&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5]]}},&quot;isTemporary&quot;:false}]},{&quot;citationID&quot;:&quot;MENDELEY_CITATION_b264e7d6-a104-4ecd-9a2f-0d2d82ab1088&quot;,&quot;properties&quot;:{&quot;noteIndex&quot;:0},&quot;isEdited&quot;:false,&quot;manualOverride&quot;:{&quot;isManuallyOverridden&quot;:true,&quot;citeprocText&quot;:&quot;(Arhinful &amp;#38; Radmehr, 2025)&quot;,&quot;manualOverrideText&quot;:&quot;Arhinful &amp; Radmehr (2025)&quot;},&quot;citationTag&quot;:&quot;MENDELEY_CITATION_v3_eyJjaXRhdGlvbklEIjoiTUVOREVMRVlfQ0lUQVRJT05fYjI2NGU3ZDYtYTEwNC00ZWNkLTlhMmYtMGQyZDgyYWIxMDg4IiwicHJvcGVydGllcyI6eyJub3RlSW5kZXgiOjB9LCJpc0VkaXRlZCI6ZmFsc2UsIm1hbnVhbE92ZXJyaWRlIjp7ImlzTWFudWFsbHlPdmVycmlkZGVuIjp0cnVlLCJjaXRlcHJvY1RleHQiOiIoQXJoaW5mdWwgJiMzODsgUmFkbWVociwgMjAyNSkiLCJtYW51YWxPdmVycmlkZVRleHQiOiJBcmhpbmZ1bCAmIFJhZG1laHIgKDIwMjUpIn0sImNpdGF0aW9uSXRlbXMiOlt7ImlkIjoiMTIwMmIwNTktM2MwMy0zNjA4LTllN2EtMWZmY2M3MjI1OTZkIiwiaXRlbURhdGEiOnsidHlwZSI6ImFydGljbGUtam91cm5hbCIsImlkIjoiMTIwMmIwNTktM2MwMy0zNjA4LTllN2EtMWZmY2M3MjI1OTZkIiwidGl0bGUiOiJUaGUgTW9kZXJhdGluZyBFZmZlY3Qgb2YgQmFuayBTaXplIGFuZCBDYXBpdGFsIEFkZXF1YWN5IG9uIHRoZSBSZWxhdGlvbnNoaXAgQmV0d2VlbiBOb24tUGVyZm9ybWluZyBMb2FucyBhbmQgQmFuayBHcm93dGg6IEV2aWRlbmNlIGZyb20gVS5TLiBCYW5rcyIsImF1dGhvciI6W3siZmFtaWx5IjoiQXJoaW5mdWwiLCJnaXZlbiI6IlJpY2hhcmQiLCJwYXJzZS1uYW1lcyI6ZmFsc2UsImRyb3BwaW5nLXBhcnRpY2xlIjoiIiwibm9uLWRyb3BwaW5nLXBhcnRpY2xlIjoiIn0seyJmYW1pbHkiOiJSYWRtZWhyIiwiZ2l2ZW4iOiJNZWhyc2hhZCIsInBhcnNlLW5hbWVzIjpmYWxzZSwiZHJvcHBpbmctcGFydGljbGUiOiIiLCJub24tZHJvcHBpbmctcGFydGljbGUiOiIifV0sImNvbnRhaW5lci10aXRsZSI6IkpvdXJuYWwgb2YgQmFua2luZyAmIEZpbmFuY2UiLCJjb250YWluZXItdGl0bGUtc2hvcnQiOiJKLiBCYW5rLiBGaW5hbmMuIiwiaXNzdWVkIjp7ImRhdGUtcGFydHMiOltbMjAyNV1dfX0sImlzVGVtcG9yYXJ5IjpmYWxzZX1dfQ==&quot;,&quot;citationItems&quot;:[{&quot;id&quot;:&quot;1202b059-3c03-3608-9e7a-1ffcc722596d&quot;,&quot;itemData&quot;:{&quot;type&quot;:&quot;article-journal&quot;,&quot;id&quot;:&quot;1202b059-3c03-3608-9e7a-1ffcc722596d&quot;,&quot;title&quot;:&quot;The Moderating Effect of Bank Size and Capital Adequacy on the Relationship Between Non-Performing Loans and Bank Growth: Evidence from U.S. Banks&quot;,&quot;author&quot;:[{&quot;family&quot;:&quot;Arhinful&quot;,&quot;given&quot;:&quot;Richard&quot;,&quot;parse-names&quot;:false,&quot;dropping-particle&quot;:&quot;&quot;,&quot;non-dropping-particle&quot;:&quot;&quot;},{&quot;family&quot;:&quot;Radmehr&quot;,&quot;given&quot;:&quot;Mehrshad&quot;,&quot;parse-names&quot;:false,&quot;dropping-particle&quot;:&quot;&quot;,&quot;non-dropping-particle&quot;:&quot;&quot;}],&quot;container-title&quot;:&quot;Journal of Banking &amp; Finance&quot;,&quot;container-title-short&quot;:&quot;J. Bank. Financ.&quot;,&quot;issued&quot;:{&quot;date-parts&quot;:[[2025]]}},&quot;isTemporary&quot;:false}]},{&quot;citationID&quot;:&quot;MENDELEY_CITATION_98523f79-6244-47ad-a406-b6a54099e3c6&quot;,&quot;properties&quot;:{&quot;noteIndex&quot;:0},&quot;isEdited&quot;:false,&quot;manualOverride&quot;:{&quot;isManuallyOverridden&quot;:true,&quot;citeprocText&quot;:&quot;(Lian et al., 2022)&quot;,&quot;manualOverrideText&quot;:&quot;Lian et al., (2022)&quot;},&quot;citationTag&quot;:&quot;MENDELEY_CITATION_v3_eyJjaXRhdGlvbklEIjoiTUVOREVMRVlfQ0lUQVRJT05fOTg1MjNmNzktNjI0NC00N2FkLWE0MDYtYjZhNTQwOTllM2M2IiwicHJvcGVydGllcyI6eyJub3RlSW5kZXgiOjB9LCJpc0VkaXRlZCI6ZmFsc2UsIm1hbnVhbE92ZXJyaWRlIjp7ImlzTWFudWFsbHlPdmVycmlkZGVuIjp0cnVlLCJjaXRlcHJvY1RleHQiOiIoTGlhbiBldCBhbC4sIDIwMjIpIiwibWFudWFsT3ZlcnJpZGVUZXh0IjoiTGlhbiBldCBhbC4sICgyMDIyKSJ9LCJjaXRhdGlvbkl0ZW1zIjpbeyJpZCI6IjU1YjBiNWM1LTBkMzUtM2M5Ny1iNmJiLTNkMmJhZTc1NTJiYiIsIml0ZW1EYXRhIjp7InR5cGUiOiJhcnRpY2xlLWpvdXJuYWwiLCJpZCI6IjU1YjBiNWM1LTBkMzUtM2M5Ny1iNmJiLTNkMmJhZTc1NTJiYiIsInRpdGxlIjoiVGhlIEltcGFjdCBvZiBHcmVlbiBDcmVkaXQgb24gdGhlIFByb2ZpdGFiaWxpdHkgb2YgQ29tbWVyY2lhbCBCYW5rcyBpbiBDaGluYSIsImF1dGhvciI6W3siZmFtaWx5IjoiTGlhbiIsImdpdmVuIjoiWW9uZ2h1aSIsInBhcnNlLW5hbWVzIjpmYWxzZSwiZHJvcHBpbmctcGFydGljbGUiOiIiLCJub24tZHJvcHBpbmctcGFydGljbGUiOiIifSx7ImZhbWlseSI6IkdhbyIsImdpdmVuIjoiSmlleWluZyIsInBhcnNlLW5hbWVzIjpmYWxzZSwiZHJvcHBpbmctcGFydGljbGUiOiIiLCJub24tZHJvcHBpbmctcGFydGljbGUiOiIifSx7ImZhbWlseSI6IlllIiwiZ2l2ZW4iOiJUYW8iLCJwYXJzZS1uYW1lcyI6ZmFsc2UsImRyb3BwaW5nLXBhcnRpY2xlIjoiIiwibm9uLWRyb3BwaW5nLXBhcnRpY2xlIjoiIn1dLCJjb250YWluZXItdGl0bGUiOiJTdXN0YWluYWJpbGl0eSIsImNvbnRhaW5lci10aXRsZS1zaG9ydCI6IlN1c3RhaW5hYmlsaXR5IiwiRE9JIjoiMTAuMzM5MC9zdTE0MTU5NTMxIiwiaXNzdWVkIjp7ImRhdGUtcGFydHMiOltbMjAyMl1dfSwicGFnZSI6Ijk1MzEiLCJpc3N1ZSI6IjE1Iiwidm9sdW1lIjoiMTQifSwiaXNUZW1wb3JhcnkiOmZhbHNlfV19&quot;,&quot;citationItems&quot;:[{&quot;id&quot;:&quot;55b0b5c5-0d35-3c97-b6bb-3d2bae7552bb&quot;,&quot;itemData&quot;:{&quot;type&quot;:&quot;article-journal&quot;,&quot;id&quot;:&quot;55b0b5c5-0d35-3c97-b6bb-3d2bae7552bb&quot;,&quot;title&quot;:&quot;The Impact of Green Credit on the Profitability of Commercial Banks in China&quot;,&quot;author&quot;:[{&quot;family&quot;:&quot;Lian&quot;,&quot;given&quot;:&quot;Yonghui&quot;,&quot;parse-names&quot;:false,&quot;dropping-particle&quot;:&quot;&quot;,&quot;non-dropping-particle&quot;:&quot;&quot;},{&quot;family&quot;:&quot;Gao&quot;,&quot;given&quot;:&quot;Jieying&quot;,&quot;parse-names&quot;:false,&quot;dropping-particle&quot;:&quot;&quot;,&quot;non-dropping-particle&quot;:&quot;&quot;},{&quot;family&quot;:&quot;Ye&quot;,&quot;given&quot;:&quot;Tao&quot;,&quot;parse-names&quot;:false,&quot;dropping-particle&quot;:&quot;&quot;,&quot;non-dropping-particle&quot;:&quot;&quot;}],&quot;container-title&quot;:&quot;Sustainability&quot;,&quot;container-title-short&quot;:&quot;Sustainability&quot;,&quot;DOI&quot;:&quot;10.3390/su14159531&quot;,&quot;issued&quot;:{&quot;date-parts&quot;:[[2022]]},&quot;page&quot;:&quot;9531&quot;,&quot;issue&quot;:&quot;15&quot;,&quot;volume&quot;:&quot;14&quot;},&quot;isTemporary&quot;:false}]},{&quot;citationID&quot;:&quot;MENDELEY_CITATION_0c26e5eb-79c2-4e42-9bb2-5e8b07f14fa9&quot;,&quot;properties&quot;:{&quot;noteIndex&quot;:0},&quot;isEdited&quot;:false,&quot;manualOverride&quot;:{&quot;isManuallyOverridden&quot;:true,&quot;citeprocText&quot;:&quot;(Mirza &amp;#38; others, 2023)&quot;,&quot;manualOverrideText&quot;:&quot;Mirza et al. (2023)&quot;},&quot;citationTag&quot;:&quot;MENDELEY_CITATION_v3_eyJjaXRhdGlvbklEIjoiTUVOREVMRVlfQ0lUQVRJT05fMGMyNmU1ZWItNzljMi00ZTQyLTliYjItNWU4YjA3ZjE0ZmE5IiwicHJvcGVydGllcyI6eyJub3RlSW5kZXgiOjB9LCJpc0VkaXRlZCI6ZmFsc2UsIm1hbnVhbE92ZXJyaWRlIjp7ImlzTWFudWFsbHlPdmVycmlkZGVuIjp0cnVlLCJjaXRlcHJvY1RleHQiOiIoTWlyemEgJiMzODsgb3RoZXJzLCAyMDIzKSIsIm1hbnVhbE92ZXJyaWRlVGV4dCI6Ik1pcnphIGV0IGFsLiAoMjAyMykifSwiY2l0YXRpb25JdGVtcyI6W3siaWQiOiIyYzQ5NDE4YS1jZTc1LTM0NTUtODNkYS1lZDkyMjM3ZmRmOGUiLCJpdGVtRGF0YSI6eyJ0eXBlIjoiYXJ0aWNsZS1qb3VybmFsIiwiaWQiOiIyYzQ5NDE4YS1jZTc1LTM0NTUtODNkYS1lZDkyMjM3ZmRmOGUiLCJ0aXRsZSI6IkdyZWVuIENyZWRpdCBhbmQgU01FIEZpbmFuY2luZyBpbiBCUklDIENvdW50cmllcyIsImF1dGhvciI6W3siZmFtaWx5IjoiTWlyemEiLCJnaXZlbiI6Ik5hd2F6aXNo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NdXX19LCJpc1RlbXBvcmFyeSI6ZmFsc2V9XX0=&quot;,&quot;citationItems&quot;:[{&quot;id&quot;:&quot;2c49418a-ce75-3455-83da-ed92237fdf8e&quot;,&quot;itemData&quot;:{&quot;type&quot;:&quot;article-journal&quot;,&quot;id&quot;:&quot;2c49418a-ce75-3455-83da-ed92237fdf8e&quot;,&quot;title&quot;:&quot;Green Credit and SME Financing in BRIC Countries&quot;,&quot;author&quot;:[{&quot;family&quot;:&quot;Mirza&quot;,&quot;given&quot;:&quot;Nawazish&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3]]}},&quot;isTemporary&quot;:false}]},{&quot;citationID&quot;:&quot;MENDELEY_CITATION_6657f42e-14d0-421b-b7ae-94c9c6c7b75c&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NjY1N2Y0MmUtMTRkMC00MjFiLWI3YWUtOTRjOWM2YzdiNzVj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4894b49e-eab6-4d1f-bd14-532543b67da4&quot;,&quot;properties&quot;:{&quot;noteIndex&quot;:0},&quot;isEdited&quot;:false,&quot;manualOverride&quot;:{&quot;isManuallyOverridden&quot;:true,&quot;citeprocText&quot;:&quot;(Backman, n.d.)&quot;,&quot;manualOverrideText&quot;:&quot;Backman (2024)&quot;},&quot;citationTag&quot;:&quot;MENDELEY_CITATION_v3_eyJjaXRhdGlvbklEIjoiTUVOREVMRVlfQ0lUQVRJT05fNDg5NGI0OWUtZWFiNi00ZDFmLWJkMTQtNTMyNTQzYjY3ZGE0IiwicHJvcGVydGllcyI6eyJub3RlSW5kZXgiOjB9LCJpc0VkaXRlZCI6ZmFsc2UsIm1hbnVhbE92ZXJyaWRlIjp7ImlzTWFudWFsbHlPdmVycmlkZGVuIjp0cnVlLCJjaXRlcHJvY1RleHQiOiIoQmFja21hbiwgbi5kLikiLCJtYW51YWxPdmVycmlkZVRleHQiOiJCYWNrbWFuICgyMDI0KSJ9LCJjaXRhdGlvbkl0ZW1zIjpbeyJpZCI6Ijc0YTI0NWE2LWEyNTktM2JlOS04MzA5LWZkOTc2Zjc5NmMwOSIsIml0ZW1EYXRhIjp7InR5cGUiOiJyZXBvcnQiLCJpZCI6Ijc0YTI0NWE2LWEyNTktM2JlOS04MzA5LWZkOTc2Zjc5NmMwOSIsInRpdGxlIjoiRG9lcyBzdXN0YWluYWJsZSBsZW5kaW5nIGluZmx1ZW5jZSBiYW5rIHByb2ZpdGFiaWxpdHk6IEV2aWRlbmNlIGZyb20gRXVyb3BlYW4gZmluYW5jaWFsIGluc3RpdHV0aW9ucyIsImF1dGhvciI6W3siZmFtaWx5IjoiQmFja21hbiIsImdpdmVuIjoiSnVsaWE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74a245a6-a259-3be9-8309-fd976f796c09&quot;,&quot;itemData&quot;:{&quot;type&quot;:&quot;report&quot;,&quot;id&quot;:&quot;74a245a6-a259-3be9-8309-fd976f796c09&quot;,&quot;title&quot;:&quot;Does sustainable lending influence bank profitability: Evidence from European financial institutions&quot;,&quot;author&quot;:[{&quot;family&quot;:&quot;Backman&quot;,&quot;given&quot;:&quot;Julia&quot;,&quot;parse-names&quot;:false,&quot;dropping-particle&quot;:&quot;&quot;,&quot;non-dropping-particle&quot;:&quot;&quot;}],&quot;container-title-short&quot;:&quot;&quot;},&quot;isTemporary&quot;:false,&quot;suppress-author&quot;:false,&quot;composite&quot;:false,&quot;author-only&quot;:false}]},{&quot;citationID&quot;:&quot;MENDELEY_CITATION_70cf9c1e-fdd8-4b7d-ae37-b6b6650cca06&quot;,&quot;properties&quot;:{&quot;noteIndex&quot;:0},&quot;isEdited&quot;:false,&quot;manualOverride&quot;:{&quot;isManuallyOverridden&quot;:true,&quot;citeprocText&quot;:&quot;(Athari et al., 2023)&quot;,&quot;manualOverrideText&quot;:&quot;Athari et al., (2023&quot;},&quot;citationTag&quot;:&quot;MENDELEY_CITATION_v3_eyJjaXRhdGlvbklEIjoiTUVOREVMRVlfQ0lUQVRJT05fNzBjZjljMWUtZmRkOC00YjdkLWFlMzctYjZiNjY1MGNjYTA2IiwicHJvcGVydGllcyI6eyJub3RlSW5kZXgiOjB9LCJpc0VkaXRlZCI6ZmFsc2UsIm1hbnVhbE92ZXJyaWRlIjp7ImlzTWFudWFsbHlPdmVycmlkZGVuIjp0cnVlLCJjaXRlcHJvY1RleHQiOiIoQXRoYXJpIGV0IGFsLiwgMjAyMykiLCJtYW51YWxPdmVycmlkZVRleHQiOiJBdGhhcmkgZXQgYWwuLCAoMjAyMyJ9LCJjaXRhdGlvbkl0ZW1zIjpbeyJpZCI6Ijk1ZDkwMTJlLWFhNjMtM2YyNi1hODdkLWU3YWJmOTFhNTViZCIsIml0ZW1EYXRhIjp7InR5cGUiOiJhcnRpY2xlLWpvdXJuYWwiLCJpZCI6Ijk1ZDkwMTJlLWFhNjMtM2YyNi1hODdkLWU3YWJmOTFhNTViZCIsInRpdGxlIjoiU3VzdGFpbmFiaWxpdHkgT3JpZW50YXRpb24gYW5kIEJhbmsgUHJvZml0YWJpbGl0eTogRXZpZGVuY2UgZnJvbSBEZXZlbG9wZWQgYW5kIEVtZXJnaW5nIE1hcmtldHMiLCJhdXRob3IiOlt7ImZhbWlseSI6IkF0aGFyaSIsImdpdmVuIjoiU2V5ZWQgQWxpcmV6YSIsInBhcnNlLW5hbWVzIjpmYWxzZSwiZHJvcHBpbmctcGFydGljbGUiOiIiLCJub24tZHJvcHBpbmctcGFydGljbGUiOiIifSx7ImZhbWlseSI6IkFkYW9nbHUiLCJnaXZlbiI6IkNhaGl0IiwicGFyc2UtbmFtZXMiOmZhbHNlLCJkcm9wcGluZy1wYXJ0aWNsZSI6IiIsIm5vbi1kcm9wcGluZy1wYXJ0aWNsZSI6IiJ9LHsiZmFtaWx5IjoiQmFocmVpbmkiLCJnaXZlbiI6Ik1vaGFtbWFkIiwicGFyc2UtbmFtZXMiOmZhbHNlLCJkcm9wcGluZy1wYXJ0aWNsZSI6IiIsIm5vbi1kcm9wcGluZy1wYXJ0aWNsZSI6IiJ9XSwiY29udGFpbmVyLXRpdGxlIjoiU3VzdGFpbmFibGUgRGV2ZWxvcG1lbnQiLCJET0kiOiIxMC4xMDAyL3NkLjI1MjAiLCJpc3N1ZWQiOnsiZGF0ZS1wYXJ0cyI6W1syMDIzXV19LCJwYWdlIjoiMjQxNS0yNDMyIiwicHVibGlzaGVyIjoiV2lsZXkiLCJpc3N1ZSI6IjQiLCJ2b2x1bWUiOiIzMSIsImNvbnRhaW5lci10aXRsZS1zaG9ydCI6IiJ9LCJpc1RlbXBvcmFyeSI6ZmFsc2V9XX0=&quot;,&quot;citationItems&quot;:[{&quot;id&quot;:&quot;95d9012e-aa63-3f26-a87d-e7abf91a55bd&quot;,&quot;itemData&quot;:{&quot;type&quot;:&quot;article-journal&quot;,&quot;id&quot;:&quot;95d9012e-aa63-3f26-a87d-e7abf91a55bd&quot;,&quot;title&quot;:&quot;Sustainability Orientation and Bank Profitability: Evidence from Developed and Emerging Markets&quot;,&quot;author&quot;:[{&quot;family&quot;:&quot;Athari&quot;,&quot;given&quot;:&quot;Seyed Alireza&quot;,&quot;parse-names&quot;:false,&quot;dropping-particle&quot;:&quot;&quot;,&quot;non-dropping-particle&quot;:&quot;&quot;},{&quot;family&quot;:&quot;Adaoglu&quot;,&quot;given&quot;:&quot;Cahit&quot;,&quot;parse-names&quot;:false,&quot;dropping-particle&quot;:&quot;&quot;,&quot;non-dropping-particle&quot;:&quot;&quot;},{&quot;family&quot;:&quot;Bahreini&quot;,&quot;given&quot;:&quot;Mohammad&quot;,&quot;parse-names&quot;:false,&quot;dropping-particle&quot;:&quot;&quot;,&quot;non-dropping-particle&quot;:&quot;&quot;}],&quot;container-title&quot;:&quot;Sustainable Development&quot;,&quot;DOI&quot;:&quot;10.1002/sd.2520&quot;,&quot;issued&quot;:{&quot;date-parts&quot;:[[2023]]},&quot;page&quot;:&quot;2415-2432&quot;,&quot;publisher&quot;:&quot;Wiley&quot;,&quot;issue&quot;:&quot;4&quot;,&quot;volume&quot;:&quot;31&quot;,&quot;container-title-short&quot;:&quot;&quot;},&quot;isTemporary&quot;:false}]},{&quot;citationID&quot;:&quot;MENDELEY_CITATION_45f2ebfa-5273-4b62-9934-b56f0054b58e&quot;,&quot;properties&quot;:{&quot;noteIndex&quot;:0},&quot;isEdited&quot;:false,&quot;manualOverride&quot;:{&quot;isManuallyOverridden&quot;:false,&quot;citeprocText&quot;:&quot;(Berger &amp;#38; DeYoung, 1997)&quot;,&quot;manualOverrideText&quot;:&quot;&quot;},&quot;citationTag&quot;:&quot;MENDELEY_CITATION_v3_eyJjaXRhdGlvbklEIjoiTUVOREVMRVlfQ0lUQVRJT05fNDVmMmViZmEtNTI3My00YjYyLTk5MzQtYjU2ZjAwNTRiNThlIiwicHJvcGVydGllcyI6eyJub3RlSW5kZXgiOjB9LCJpc0VkaXRlZCI6ZmFsc2UsIm1hbnVhbE92ZXJyaWRlIjp7ImlzTWFudWFsbHlPdmVycmlkZGVuIjpmYWxzZSwiY2l0ZXByb2NUZXh0IjoiKEJlcmdlciAmIzM4OyBEZVlvdW5nLCAxOTk3KSIsIm1hbnVhbE92ZXJyaWRlVGV4dCI6IiJ9LCJjaXRhdGlvbkl0ZW1zIjpbeyJpZCI6IjNkNDY1MmViLTI1OWUtM2FmMS05NTVjLTc0YmE4NzYxMzgxNCIsIml0ZW1EYXRhIjp7InR5cGUiOiJhcnRpY2xlLWpvdXJuYWwiLCJpZCI6IjNkNDY1MmViLTI1OWUtM2FmMS05NTVjLTc0YmE4NzYxMzgxNCIsInRpdGxlIjoiUHJvYmxlbSBMb2FucyBhbmQgQ29zdCBFZmZpY2llbmN5IGluIENvbW1lcmNpYWwgQmFua3MiLCJhdXRob3IiOlt7ImZhbWlseSI6IkJlcmdlciIsImdpdmVuIjoiQWxsZW4gTiIsInBhcnNlLW5hbWVzIjpmYWxzZSwiZHJvcHBpbmctcGFydGljbGUiOiIiLCJub24tZHJvcHBpbmctcGFydGljbGUiOiIifSx7ImZhbWlseSI6IkRlWW91bmciLCJnaXZlbiI6IlJvYmVydCIsInBhcnNlLW5hbWVzIjpmYWxzZSwiZHJvcHBpbmctcGFydGljbGUiOiIiLCJub24tZHJvcHBpbmctcGFydGljbGUiOiIifV0sImNvbnRhaW5lci10aXRsZSI6IkpvdXJuYWwgb2YgQmFua2luZyAmIEZpbmFuY2UiLCJjb250YWluZXItdGl0bGUtc2hvcnQiOiJKLiBCYW5rLiBGaW5hbmMuIiwiRE9JIjoiMTAuMTAxNi9TMDM3OC00MjY2KDk3KTAwMDAzLTQiLCJpc3N1ZWQiOnsiZGF0ZS1wYXJ0cyI6W1sxOTk3XV19LCJwYWdlIjoiODQ5LTg3MCIsImlzc3VlIjoiNiIsInZvbHVtZSI6IjIxIn0sImlzVGVtcG9yYXJ5IjpmYWxzZX1dfQ==&quot;,&quot;citationItems&quot;:[{&quot;id&quot;:&quot;3d4652eb-259e-3af1-955c-74ba87613814&quot;,&quot;itemData&quot;:{&quot;type&quot;:&quot;article-journal&quot;,&quot;id&quot;:&quot;3d4652eb-259e-3af1-955c-74ba87613814&quot;,&quot;title&quot;:&quot;Problem Loans and Cost Efficiency in Commercial Banks&quot;,&quot;author&quot;:[{&quot;family&quot;:&quot;Berger&quot;,&quot;given&quot;:&quot;Allen N&quot;,&quot;parse-names&quot;:false,&quot;dropping-particle&quot;:&quot;&quot;,&quot;non-dropping-particle&quot;:&quot;&quot;},{&quot;family&quot;:&quot;DeYoung&quot;,&quot;given&quot;:&quot;Robert&quot;,&quot;parse-names&quot;:false,&quot;dropping-particle&quot;:&quot;&quot;,&quot;non-dropping-particle&quot;:&quot;&quot;}],&quot;container-title&quot;:&quot;Journal of Banking &amp; Finance&quot;,&quot;container-title-short&quot;:&quot;J. Bank. Financ.&quot;,&quot;DOI&quot;:&quot;10.1016/S0378-4266(97)00003-4&quot;,&quot;issued&quot;:{&quot;date-parts&quot;:[[1997]]},&quot;page&quot;:&quot;849-870&quot;,&quot;issue&quot;:&quot;6&quot;,&quot;volume&quot;:&quot;21&quot;},&quot;isTemporary&quot;:false}]},{&quot;citationID&quot;:&quot;MENDELEY_CITATION_d1575a89-aeea-4324-b727-84ee15153fd0&quot;,&quot;properties&quot;:{&quot;noteIndex&quot;:0},&quot;isEdited&quot;:false,&quot;manualOverride&quot;:{&quot;isManuallyOverridden&quot;:true,&quot;citeprocText&quot;:&quot;(Ekinci &amp;#38; Poyraz, 2019)&quot;,&quot;manualOverrideText&quot;:&quot;Ekinci &amp; Poyraz (2019)&quot;},&quot;citationTag&quot;:&quot;MENDELEY_CITATION_v3_eyJjaXRhdGlvbklEIjoiTUVOREVMRVlfQ0lUQVRJT05fZDE1NzVhODktYWVlYS00MzI0LWI3MjctODRlZTE1MTUzZmQwIiwicHJvcGVydGllcyI6eyJub3RlSW5kZXgiOjB9LCJpc0VkaXRlZCI6ZmFsc2UsIm1hbnVhbE92ZXJyaWRlIjp7ImlzTWFudWFsbHlPdmVycmlkZGVuIjp0cnVlLCJjaXRlcHJvY1RleHQiOiIoRWtpbmNpICYjMzg7IFBveXJheiwgMjAxOSkiLCJtYW51YWxPdmVycmlkZVRleHQiOiJFa2luY2kgJiBQb3lyYXogKDIwMTkpIn0sImNpdGF0aW9uSXRlbXMiOlt7ImlkIjoiNDExNjRlNWQtMDVkYy0zNmY2LWJiM2EtNDIyYmViZjE0ZDhlIiwiaXRlbURhdGEiOnsidHlwZSI6ImFydGljbGUtam91cm5hbCIsImlkIjoiNDExNjRlNWQtMDVkYy0zNmY2LWJiM2EtNDIyYmViZjE0ZDhlIiwidGl0bGUiOiJUaGUgRWZmZWN0IG9mIENyZWRpdCBSaXNrIG9uIEZpbmFuY2lhbCBQZXJmb3JtYW5jZSBvZiBEZXBvc2l0IEJhbmtzIGluIFR1cmtleSIsImF1dGhvciI6W3siZmFtaWx5IjoiRWtpbmNpIiwiZ2l2ZW4iOiJSYW1hemFuIiwicGFyc2UtbmFtZXMiOmZhbHNlLCJkcm9wcGluZy1wYXJ0aWNsZSI6IiIsIm5vbi1kcm9wcGluZy1wYXJ0aWNsZSI6IiJ9LHsiZmFtaWx5IjoiUG95cmF6IiwiZ2l2ZW4iOiJHdWxkZW4iLCJwYXJzZS1uYW1lcyI6ZmFsc2UsImRyb3BwaW5nLXBhcnRpY2xlIjoiIiwibm9uLWRyb3BwaW5nLXBhcnRpY2xlIjoiIn1dLCJjb250YWluZXItdGl0bGUiOiJQcm9jZWRpYSBDb21wdXRlciBTY2llbmNlIiwiY29udGFpbmVyLXRpdGxlLXNob3J0IjoiUHJvY2VkaWEgQ29tcHV0LiBTY2kuIiwiRE9JIjoiMTAuMTAxNi9qLnByb2NzLjIwMTkuMDkuMTM5IiwiaXNzdWVkIjp7ImRhdGUtcGFydHMiOltbMjAxOV1dfSwicGFnZSI6Ijk3OS05ODciLCJ2b2x1bWUiOiIxNTgifSwiaXNUZW1wb3JhcnkiOmZhbHNlfV19&quot;,&quot;citationItems&quot;:[{&quot;id&quot;:&quot;41164e5d-05dc-36f6-bb3a-422bebf14d8e&quot;,&quot;itemData&quot;:{&quot;type&quot;:&quot;article-journal&quot;,&quot;id&quot;:&quot;41164e5d-05dc-36f6-bb3a-422bebf14d8e&quot;,&quot;title&quot;:&quot;The Effect of Credit Risk on Financial Performance of Deposit Banks in Turkey&quot;,&quot;author&quot;:[{&quot;family&quot;:&quot;Ekinci&quot;,&quot;given&quot;:&quot;Ramazan&quot;,&quot;parse-names&quot;:false,&quot;dropping-particle&quot;:&quot;&quot;,&quot;non-dropping-particle&quot;:&quot;&quot;},{&quot;family&quot;:&quot;Poyraz&quot;,&quot;given&quot;:&quot;Gulden&quot;,&quot;parse-names&quot;:false,&quot;dropping-particle&quot;:&quot;&quot;,&quot;non-dropping-particle&quot;:&quot;&quot;}],&quot;container-title&quot;:&quot;Procedia Computer Science&quot;,&quot;container-title-short&quot;:&quot;Procedia Comput. Sci.&quot;,&quot;DOI&quot;:&quot;10.1016/j.procs.2019.09.139&quot;,&quot;issued&quot;:{&quot;date-parts&quot;:[[2019]]},&quot;page&quot;:&quot;979-987&quot;,&quot;volume&quot;:&quot;158&quot;},&quot;isTemporary&quot;:false}]},{&quot;citationID&quot;:&quot;MENDELEY_CITATION_64be1460-4855-45c3-91ed-fd782d58ddc8&quot;,&quot;properties&quot;:{&quot;noteIndex&quot;:0},&quot;isEdited&quot;:false,&quot;manualOverride&quot;:{&quot;isManuallyOverridden&quot;:true,&quot;citeprocText&quot;:&quot;(Tran &amp;#38; others, 2022)&quot;,&quot;manualOverrideText&quot;:&quot;Tran et al. (2022)&quot;},&quot;citationTag&quot;:&quot;MENDELEY_CITATION_v3_eyJjaXRhdGlvbklEIjoiTUVOREVMRVlfQ0lUQVRJT05fNjRiZTE0NjAtNDg1NS00NWMzLTkxZWQtZmQ3ODJkNThkZGM4IiwicHJvcGVydGllcyI6eyJub3RlSW5kZXgiOjB9LCJpc0VkaXRlZCI6ZmFsc2UsIm1hbnVhbE92ZXJyaWRlIjp7ImlzTWFudWFsbHlPdmVycmlkZGVuIjp0cnVlLCJjaXRlcHJvY1RleHQiOiIoVHJhbiAmIzM4OyBvdGhlcnMsIDIwMjIpIiwibWFudWFsT3ZlcnJpZGVUZXh0IjoiVHJhbiBldCBhbC4gKDIwMjIpIn0sImNpdGF0aW9uSXRlbXMiOlt7ImlkIjoiMjI0ZjVkNzEtYTdjNC0zYzBhLTgwYTAtN2JmNzUzYmRjY2MxIiwiaXRlbURhdGEiOnsidHlwZSI6ImFydGljbGUtam91cm5hbCIsImlkIjoiMjI0ZjVkNzEtYTdjNC0zYzBhLTgwYTAtN2JmNzUzYmRjY2MxIiwidGl0bGUiOiJUaGUgSW1wYWN0IG9mIE5vbi1QZXJmb3JtaW5nIExvYW5zIG9uIEJhbmsgUHJvZml0YWJpbGl0eTogQSBDb21wYXJhdGl2ZSBTdHVkeSIsImF1dGhvciI6W3siZmFtaWx5IjoiVHJhbiIsImdpdmVuIjoiSCBUIiwicGFyc2UtbmFtZXMiOmZhbHNlLCJkcm9wcGluZy1wYXJ0aWNsZSI6IiIsIm5vbi1kcm9wcGluZy1wYXJ0aWNsZSI6IiJ9LHsiZmFtaWx5Ijoib3RoZXJzIiwiZ2l2ZW4iOiIiLCJwYXJzZS1uYW1lcyI6ZmFsc2UsImRyb3BwaW5nLXBhcnRpY2xlIjoiIiwibm9uLWRyb3BwaW5nLXBhcnRpY2xlIjoiIn1dLCJjb250YWluZXItdGl0bGUiOiJKb3VybmFsIG9mIFJpc2sgYW5kIEZpbmFuY2lhbCBNYW5hZ2VtZW50IiwiaXNzdWVkIjp7ImRhdGUtcGFydHMiOltbMjAyMl1dfSwiY29udGFpbmVyLXRpdGxlLXNob3J0IjoiIn0sImlzVGVtcG9yYXJ5IjpmYWxzZX1dfQ==&quot;,&quot;citationItems&quot;:[{&quot;id&quot;:&quot;224f5d71-a7c4-3c0a-80a0-7bf753bdccc1&quot;,&quot;itemData&quot;:{&quot;type&quot;:&quot;article-journal&quot;,&quot;id&quot;:&quot;224f5d71-a7c4-3c0a-80a0-7bf753bdccc1&quot;,&quot;title&quot;:&quot;The Impact of Non-Performing Loans on Bank Profitability: A Comparative Study&quot;,&quot;author&quot;:[{&quot;family&quot;:&quot;Tran&quot;,&quot;given&quot;:&quot;H T&quot;,&quot;parse-names&quot;:false,&quot;dropping-particle&quot;:&quot;&quot;,&quot;non-dropping-particle&quot;:&quot;&quot;},{&quot;family&quot;:&quot;others&quot;,&quot;given&quot;:&quot;&quot;,&quot;parse-names&quot;:false,&quot;dropping-particle&quot;:&quot;&quot;,&quot;non-dropping-particle&quot;:&quot;&quot;}],&quot;container-title&quot;:&quot;Journal of Risk and Financial Management&quot;,&quot;issued&quot;:{&quot;date-parts&quot;:[[2022]]},&quot;container-title-short&quot;:&quot;&quot;},&quot;isTemporary&quot;:false}]},{&quot;citationID&quot;:&quot;MENDELEY_CITATION_c8db1e68-9e8f-40e3-9a5b-f926b1c808f6&quot;,&quot;properties&quot;:{&quot;noteIndex&quot;:0},&quot;isEdited&quot;:false,&quot;manualOverride&quot;:{&quot;isManuallyOverridden&quot;:true,&quot;citeprocText&quot;:&quot;(Duong &amp;#38; others, 2023)&quot;,&quot;manualOverrideText&quot;:&quot;Duong et al. (2023)&quot;},&quot;citationTag&quot;:&quot;MENDELEY_CITATION_v3_eyJjaXRhdGlvbklEIjoiTUVOREVMRVlfQ0lUQVRJT05fYzhkYjFlNjgtOWU4Zi00MGUzLTlhNWItZjkyNmIxYzgwOGY2IiwicHJvcGVydGllcyI6eyJub3RlSW5kZXgiOjB9LCJpc0VkaXRlZCI6ZmFsc2UsIm1hbnVhbE92ZXJyaWRlIjp7ImlzTWFudWFsbHlPdmVycmlkZGVuIjp0cnVlLCJjaXRlcHJvY1RleHQiOiIoRHVvbmcgJiMzODsgb3RoZXJzLCAyMDIzKSIsIm1hbnVhbE92ZXJyaWRlVGV4dCI6IkR1b25nIGV0IGFsLiAoMjAyMykifSwiY2l0YXRpb25JdGVtcyI6W3siaWQiOiIzZmFlNDFhOS0yOGUwLTM0ZWMtYTkyNi1iNjdkYTkxMTBlYTciLCJpdGVtRGF0YSI6eyJ0eXBlIjoiYXJ0aWNsZS1qb3VybmFsIiwiaWQiOiIzZmFlNDFhOS0yOGUwLTM0ZWMtYTkyNi1iNjdkYTkxMTBlYTciLCJ0aXRsZSI6Ik5vbi1QZXJmb3JtaW5nIExvYW5zIGFuZCBCYW5rIFByb2ZpdGFiaWxpdHk6IEV2aWRlbmNlIGZyb20gRW1lcmdpbmcgTWFya2V0cyIsImF1dGhvciI6W3siZmFtaWx5IjoiRHVvbmciLCJnaXZlbiI6IlQgVCBOIiwicGFyc2UtbmFtZXMiOmZhbHNlLCJkcm9wcGluZy1wYXJ0aWNsZSI6IiIsIm5vbi1kcm9wcGluZy1wYXJ0aWNsZSI6IiJ9LHsiZmFtaWx5Ijoib3RoZXJzIiwiZ2l2ZW4iOiIiLCJwYXJzZS1uYW1lcyI6ZmFsc2UsImRyb3BwaW5nLXBhcnRpY2xlIjoiIiwibm9uLWRyb3BwaW5nLXBhcnRpY2xlIjoiIn1dLCJjb250YWluZXItdGl0bGUiOiJJbnRlcm5hdGlvbmFsIFJldmlldyBvZiBGaW5hbmNpYWwgQW5hbHlzaXMiLCJpc3N1ZWQiOnsiZGF0ZS1wYXJ0cyI6W1syMDIzXV19LCJjb250YWluZXItdGl0bGUtc2hvcnQiOiIifSwiaXNUZW1wb3JhcnkiOmZhbHNlfV19&quot;,&quot;citationItems&quot;:[{&quot;id&quot;:&quot;3fae41a9-28e0-34ec-a926-b67da9110ea7&quot;,&quot;itemData&quot;:{&quot;type&quot;:&quot;article-journal&quot;,&quot;id&quot;:&quot;3fae41a9-28e0-34ec-a926-b67da9110ea7&quot;,&quot;title&quot;:&quot;Non-Performing Loans and Bank Profitability: Evidence from Emerging Markets&quot;,&quot;author&quot;:[{&quot;family&quot;:&quot;Duong&quot;,&quot;given&quot;:&quot;T T N&quot;,&quot;parse-names&quot;:false,&quot;dropping-particle&quot;:&quot;&quot;,&quot;non-dropping-particle&quot;:&quot;&quot;},{&quot;family&quot;:&quot;others&quot;,&quot;given&quot;:&quot;&quot;,&quot;parse-names&quot;:false,&quot;dropping-particle&quot;:&quot;&quot;,&quot;non-dropping-particle&quot;:&quot;&quot;}],&quot;container-title&quot;:&quot;International Review of Financial Analysis&quot;,&quot;issued&quot;:{&quot;date-parts&quot;:[[2023]]},&quot;container-title-short&quot;:&quot;&quot;},&quot;isTemporary&quot;:false}]},{&quot;citationID&quot;:&quot;MENDELEY_CITATION_5ca39b5d-e561-4663-a0be-6388f4b7f1b3&quot;,&quot;properties&quot;:{&quot;noteIndex&quot;:0},&quot;isEdited&quot;:false,&quot;manualOverride&quot;:{&quot;isManuallyOverridden&quot;:true,&quot;citeprocText&quot;:&quot;(Sutrisno &amp;#38; others, 2024)&quot;,&quot;manualOverrideText&quot;:&quot;Sutrisno et al. (2024)&quot;},&quot;citationTag&quot;:&quot;MENDELEY_CITATION_v3_eyJjaXRhdGlvbklEIjoiTUVOREVMRVlfQ0lUQVRJT05fNWNhMzliNWQtZTU2MS00NjYzLWEwYmUtNjM4OGY0YjdmMWIzIiwicHJvcGVydGllcyI6eyJub3RlSW5kZXgiOjB9LCJpc0VkaXRlZCI6ZmFsc2UsIm1hbnVhbE92ZXJyaWRlIjp7ImlzTWFudWFsbHlPdmVycmlkZGVuIjp0cnVlLCJjaXRlcHJvY1RleHQiOiIoU3V0cmlzbm8gJiMzODsgb3RoZXJzLCAyMDI0KSIsIm1hbnVhbE92ZXJyaWRlVGV4dCI6IlN1dHJpc25vIGV0IGFsLiAoMjAyNCkifSwiY2l0YXRpb25JdGVtcyI6W3siaWQiOiI4ZDdiM2FhMS0yODI0LTMyZmYtYmIyNC1hZGMwZmVhZjYwYzciLCJpdGVtRGF0YSI6eyJ0eXBlIjoiYXJ0aWNsZS1qb3VybmFsIiwiaWQiOiI4ZDdiM2FhMS0yODI0LTMyZmYtYmIyNC1hZGMwZmVhZjYwYzciLCJ0aXRsZSI6IlRoZSBFZmZlY3Qgb2YgR3JlZW4gQ3JlZGl0IFJhdGlvIG9uIEJhbmsgUHJvZml0YWJpbGl0eSBpbiBJbmRvbmVzaWEiLCJhdXRob3IiOlt7ImZhbWlseSI6IlN1dHJpc25vIiwiZ2l2ZW4iOiJTIiwicGFyc2UtbmFtZXMiOmZhbHNlLCJkcm9wcGluZy1wYXJ0aWNsZSI6IiIsIm5vbi1kcm9wcGluZy1wYXJ0aWNsZSI6IiJ9LHsiZmFtaWx5Ijoib3RoZXJzIiwiZ2l2ZW4iOiIiLCJwYXJzZS1uYW1lcyI6ZmFsc2UsImRyb3BwaW5nLXBhcnRpY2xlIjoiIiwibm9uLWRyb3BwaW5nLXBhcnRpY2xlIjoiIn1dLCJjb250YWluZXItdGl0bGUiOiJKdXJuYWwgS2V1YW5nYW4gZGFuIFBlcmJhbmthbiIsImlzc3VlZCI6eyJkYXRlLXBhcnRzIjpbWzIwMjRdXX0sImNvbnRhaW5lci10aXRsZS1zaG9ydCI6IiJ9LCJpc1RlbXBvcmFyeSI6ZmFsc2V9XX0=&quot;,&quot;citationItems&quot;:[{&quot;id&quot;:&quot;8d7b3aa1-2824-32ff-bb24-adc0feaf60c7&quot;,&quot;itemData&quot;:{&quot;type&quot;:&quot;article-journal&quot;,&quot;id&quot;:&quot;8d7b3aa1-2824-32ff-bb24-adc0feaf60c7&quot;,&quot;title&quot;:&quot;The Effect of Green Credit Ratio on Bank Profitability in Indonesia&quot;,&quot;author&quot;:[{&quot;family&quot;:&quot;Sutrisno&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Jurnal Keuangan dan Perbankan&quot;,&quot;issued&quot;:{&quot;date-parts&quot;:[[2024]]},&quot;container-title-short&quot;:&quot;&quot;},&quot;isTemporary&quot;:false}]},{&quot;citationID&quot;:&quot;MENDELEY_CITATION_1cc0ed55-ecfd-4bbf-8b57-afb12555b70d&quot;,&quot;properties&quot;:{&quot;noteIndex&quot;:0},&quot;isEdited&quot;:false,&quot;manualOverride&quot;:{&quot;isManuallyOverridden&quot;:true,&quot;citeprocText&quot;:&quot;(Kumari &amp;#38; others, 2024)&quot;,&quot;manualOverrideText&quot;:&quot;Kumari et al. (2024)&quot;},&quot;citationTag&quot;:&quot;MENDELEY_CITATION_v3_eyJjaXRhdGlvbklEIjoiTUVOREVMRVlfQ0lUQVRJT05fMWNjMGVkNTUtZWNmZC00YmJmLThiNTctYWZiMTI1NTViNzBkIiwicHJvcGVydGllcyI6eyJub3RlSW5kZXgiOjB9LCJpc0VkaXRlZCI6ZmFsc2UsIm1hbnVhbE92ZXJyaWRlIjp7ImlzTWFudWFsbHlPdmVycmlkZGVuIjp0cnVlLCJjaXRlcHJvY1RleHQiOiIoS3VtYXJpICYjMzg7IG90aGVycywgMjAyNCkiLCJtYW51YWxPdmVycmlkZVRleHQiOiJLdW1hcmkgZXQgYWwuICgyMDI0KSJ9LCJjaXRhdGlvbkl0ZW1zIjpbeyJpZCI6IjA2MzAxMjlhLTZmZmMtM2QyNC1hNWYzLTRiMzEwY2QwMzcwZiIsIml0ZW1EYXRhIjp7InR5cGUiOiJhcnRpY2xlLWpvdXJuYWwiLCJpZCI6IjA2MzAxMjlhLTZmZmMtM2QyNC1hNWYzLTRiMzEwY2QwMzcwZiIsInRpdGxlIjoiRGV0ZXJtaW5hbnRzIG9mIEJhbmsgUHJvZml0YWJpbGl0eSBpbiBJbmRpYTogVGhlIFJvbGUgb2YgQ3JlZGl0IFJpc2sgYW5kIEJhbmsgU2l6ZSIsImF1dGhvciI6W3siZmFtaWx5IjoiS3VtYXJpIiwiZ2l2ZW4iOiJTIiwicGFyc2UtbmFtZXMiOmZhbHNlLCJkcm9wcGluZy1wYXJ0aWNsZSI6IiIsIm5vbi1kcm9wcGluZy1wYXJ0aWNsZSI6IiJ9LHsiZmFtaWx5Ijoib3RoZXJzIiwiZ2l2ZW4iOiIiLCJwYXJzZS1uYW1lcyI6ZmFsc2UsImRyb3BwaW5nLXBhcnRpY2xlIjoiIiwibm9uLWRyb3BwaW5nLXBhcnRpY2xlIjoiIn1dLCJjb250YWluZXItdGl0bGUiOiJJbnRlcm5hdGlvbmFsIEpvdXJuYWwgb2YgRmluYW5jZSAmIEVjb25vbWljcyIsImlzc3VlZCI6eyJkYXRlLXBhcnRzIjpbWzIwMjRdXX0sImNvbnRhaW5lci10aXRsZS1zaG9ydCI6IiJ9LCJpc1RlbXBvcmFyeSI6ZmFsc2V9XX0=&quot;,&quot;citationItems&quot;:[{&quot;id&quot;:&quot;0630129a-6ffc-3d24-a5f3-4b310cd0370f&quot;,&quot;itemData&quot;:{&quot;type&quot;:&quot;article-journal&quot;,&quot;id&quot;:&quot;0630129a-6ffc-3d24-a5f3-4b310cd0370f&quot;,&quot;title&quot;:&quot;Determinants of Bank Profitability in India: The Role of Credit Risk and Bank Size&quot;,&quot;author&quot;:[{&quot;family&quot;:&quot;Kumari&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Finance &amp; Economics&quot;,&quot;issued&quot;:{&quot;date-parts&quot;:[[2024]]},&quot;container-title-short&quot;:&quot;&quot;},&quot;isTemporary&quot;:false}]},{&quot;citationID&quot;:&quot;MENDELEY_CITATION_e789f852-b26f-4187-99cf-4a371d04c7ec&quot;,&quot;properties&quot;:{&quot;noteIndex&quot;:0},&quot;isEdited&quot;:false,&quot;manualOverride&quot;:{&quot;isManuallyOverridden&quot;:true,&quot;citeprocText&quot;:&quot;(Tran &amp;#38; others, 2022)&quot;,&quot;manualOverrideText&quot;:&quot;Tran et al. (2022)&quot;},&quot;citationTag&quot;:&quot;MENDELEY_CITATION_v3_eyJjaXRhdGlvbklEIjoiTUVOREVMRVlfQ0lUQVRJT05fZTc4OWY4NTItYjI2Zi00MTg3LTk5Y2YtNGEzNzFkMDRjN2VjIiwicHJvcGVydGllcyI6eyJub3RlSW5kZXgiOjB9LCJpc0VkaXRlZCI6ZmFsc2UsIm1hbnVhbE92ZXJyaWRlIjp7ImlzTWFudWFsbHlPdmVycmlkZGVuIjp0cnVlLCJjaXRlcHJvY1RleHQiOiIoVHJhbiAmIzM4OyBvdGhlcnMsIDIwMjIpIiwibWFudWFsT3ZlcnJpZGVUZXh0IjoiVHJhbiBldCBhbC4gKDIwMjIpIn0sImNpdGF0aW9uSXRlbXMiOlt7ImlkIjoiMjI0ZjVkNzEtYTdjNC0zYzBhLTgwYTAtN2JmNzUzYmRjY2MxIiwiaXRlbURhdGEiOnsidHlwZSI6ImFydGljbGUtam91cm5hbCIsImlkIjoiMjI0ZjVkNzEtYTdjNC0zYzBhLTgwYTAtN2JmNzUzYmRjY2MxIiwidGl0bGUiOiJUaGUgSW1wYWN0IG9mIE5vbi1QZXJmb3JtaW5nIExvYW5zIG9uIEJhbmsgUHJvZml0YWJpbGl0eTogQSBDb21wYXJhdGl2ZSBTdHVkeSIsImF1dGhvciI6W3siZmFtaWx5IjoiVHJhbiIsImdpdmVuIjoiSCBUIiwicGFyc2UtbmFtZXMiOmZhbHNlLCJkcm9wcGluZy1wYXJ0aWNsZSI6IiIsIm5vbi1kcm9wcGluZy1wYXJ0aWNsZSI6IiJ9LHsiZmFtaWx5Ijoib3RoZXJzIiwiZ2l2ZW4iOiIiLCJwYXJzZS1uYW1lcyI6ZmFsc2UsImRyb3BwaW5nLXBhcnRpY2xlIjoiIiwibm9uLWRyb3BwaW5nLXBhcnRpY2xlIjoiIn1dLCJjb250YWluZXItdGl0bGUiOiJKb3VybmFsIG9mIFJpc2sgYW5kIEZpbmFuY2lhbCBNYW5hZ2VtZW50IiwiaXNzdWVkIjp7ImRhdGUtcGFydHMiOltbMjAyMl1dfSwiY29udGFpbmVyLXRpdGxlLXNob3J0IjoiIn0sImlzVGVtcG9yYXJ5IjpmYWxzZX1dfQ==&quot;,&quot;citationItems&quot;:[{&quot;id&quot;:&quot;224f5d71-a7c4-3c0a-80a0-7bf753bdccc1&quot;,&quot;itemData&quot;:{&quot;type&quot;:&quot;article-journal&quot;,&quot;id&quot;:&quot;224f5d71-a7c4-3c0a-80a0-7bf753bdccc1&quot;,&quot;title&quot;:&quot;The Impact of Non-Performing Loans on Bank Profitability: A Comparative Study&quot;,&quot;author&quot;:[{&quot;family&quot;:&quot;Tran&quot;,&quot;given&quot;:&quot;H T&quot;,&quot;parse-names&quot;:false,&quot;dropping-particle&quot;:&quot;&quot;,&quot;non-dropping-particle&quot;:&quot;&quot;},{&quot;family&quot;:&quot;others&quot;,&quot;given&quot;:&quot;&quot;,&quot;parse-names&quot;:false,&quot;dropping-particle&quot;:&quot;&quot;,&quot;non-dropping-particle&quot;:&quot;&quot;}],&quot;container-title&quot;:&quot;Journal of Risk and Financial Management&quot;,&quot;issued&quot;:{&quot;date-parts&quot;:[[2022]]},&quot;container-title-short&quot;:&quot;&quot;},&quot;isTemporary&quot;:false}]},{&quot;citationID&quot;:&quot;MENDELEY_CITATION_f78e154c-1315-4287-bc0d-2acb69ba41df&quot;,&quot;properties&quot;:{&quot;noteIndex&quot;:0},&quot;isEdited&quot;:false,&quot;manualOverride&quot;:{&quot;isManuallyOverridden&quot;:true,&quot;citeprocText&quot;:&quot;(Kumari &amp;#38; others, 2024)&quot;,&quot;manualOverrideText&quot;:&quot;Kumari et al. (2024)&quot;},&quot;citationTag&quot;:&quot;MENDELEY_CITATION_v3_eyJjaXRhdGlvbklEIjoiTUVOREVMRVlfQ0lUQVRJT05fZjc4ZTE1NGMtMTMxNS00Mjg3LWJjMGQtMmFjYjY5YmE0MWRmIiwicHJvcGVydGllcyI6eyJub3RlSW5kZXgiOjB9LCJpc0VkaXRlZCI6ZmFsc2UsIm1hbnVhbE92ZXJyaWRlIjp7ImlzTWFudWFsbHlPdmVycmlkZGVuIjp0cnVlLCJjaXRlcHJvY1RleHQiOiIoS3VtYXJpICYjMzg7IG90aGVycywgMjAyNCkiLCJtYW51YWxPdmVycmlkZVRleHQiOiJLdW1hcmkgZXQgYWwuICgyMDI0KSJ9LCJjaXRhdGlvbkl0ZW1zIjpbeyJpZCI6IjA2MzAxMjlhLTZmZmMtM2QyNC1hNWYzLTRiMzEwY2QwMzcwZiIsIml0ZW1EYXRhIjp7InR5cGUiOiJhcnRpY2xlLWpvdXJuYWwiLCJpZCI6IjA2MzAxMjlhLTZmZmMtM2QyNC1hNWYzLTRiMzEwY2QwMzcwZiIsInRpdGxlIjoiRGV0ZXJtaW5hbnRzIG9mIEJhbmsgUHJvZml0YWJpbGl0eSBpbiBJbmRpYTogVGhlIFJvbGUgb2YgQ3JlZGl0IFJpc2sgYW5kIEJhbmsgU2l6ZSIsImF1dGhvciI6W3siZmFtaWx5IjoiS3VtYXJpIiwiZ2l2ZW4iOiJTIiwicGFyc2UtbmFtZXMiOmZhbHNlLCJkcm9wcGluZy1wYXJ0aWNsZSI6IiIsIm5vbi1kcm9wcGluZy1wYXJ0aWNsZSI6IiJ9LHsiZmFtaWx5Ijoib3RoZXJzIiwiZ2l2ZW4iOiIiLCJwYXJzZS1uYW1lcyI6ZmFsc2UsImRyb3BwaW5nLXBhcnRpY2xlIjoiIiwibm9uLWRyb3BwaW5nLXBhcnRpY2xlIjoiIn1dLCJjb250YWluZXItdGl0bGUiOiJJbnRlcm5hdGlvbmFsIEpvdXJuYWwgb2YgRmluYW5jZSAmIEVjb25vbWljcyIsImlzc3VlZCI6eyJkYXRlLXBhcnRzIjpbWzIwMjRdXX0sImNvbnRhaW5lci10aXRsZS1zaG9ydCI6IiJ9LCJpc1RlbXBvcmFyeSI6ZmFsc2V9XX0=&quot;,&quot;citationItems&quot;:[{&quot;id&quot;:&quot;0630129a-6ffc-3d24-a5f3-4b310cd0370f&quot;,&quot;itemData&quot;:{&quot;type&quot;:&quot;article-journal&quot;,&quot;id&quot;:&quot;0630129a-6ffc-3d24-a5f3-4b310cd0370f&quot;,&quot;title&quot;:&quot;Determinants of Bank Profitability in India: The Role of Credit Risk and Bank Size&quot;,&quot;author&quot;:[{&quot;family&quot;:&quot;Kumari&quot;,&quot;given&quot;:&quot;S&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Finance &amp; Economics&quot;,&quot;issued&quot;:{&quot;date-parts&quot;:[[2024]]},&quot;container-title-short&quot;:&quot;&quot;},&quot;isTemporary&quot;:false}]},{&quot;citationID&quot;:&quot;MENDELEY_CITATION_e01a7108-db30-4895-852f-cdea57a3cb9d&quot;,&quot;properties&quot;:{&quot;noteIndex&quot;:0},&quot;isEdited&quot;:false,&quot;manualOverride&quot;:{&quot;isManuallyOverridden&quot;:true,&quot;citeprocText&quot;:&quot;(Arhinful &amp;#38; Radmehr, 2025)&quot;,&quot;manualOverrideText&quot;:&quot;Arhinful &amp; Radmehr (2025&quot;},&quot;citationTag&quot;:&quot;MENDELEY_CITATION_v3_eyJjaXRhdGlvbklEIjoiTUVOREVMRVlfQ0lUQVRJT05fZTAxYTcxMDgtZGIzMC00ODk1LTg1MmYtY2RlYTU3YTNjYjlkIiwicHJvcGVydGllcyI6eyJub3RlSW5kZXgiOjB9LCJpc0VkaXRlZCI6ZmFsc2UsIm1hbnVhbE92ZXJyaWRlIjp7ImlzTWFudWFsbHlPdmVycmlkZGVuIjp0cnVlLCJjaXRlcHJvY1RleHQiOiIoQXJoaW5mdWwgJiMzODsgUmFkbWVociwgMjAyNSkiLCJtYW51YWxPdmVycmlkZVRleHQiOiJBcmhpbmZ1bCAmIFJhZG1laHIgKDIwMjUifSwiY2l0YXRpb25JdGVtcyI6W3siaWQiOiIxMjAyYjA1OS0zYzAzLTM2MDgtOWU3YS0xZmZjYzcyMjU5NmQiLCJpdGVtRGF0YSI6eyJ0eXBlIjoiYXJ0aWNsZS1qb3VybmFsIiwiaWQiOiIxMjAyYjA1OS0zYzAzLTM2MDgtOWU3YS0xZmZjYzcyMjU5NmQiLCJ0aXRsZSI6IlRoZSBNb2RlcmF0aW5nIEVmZmVjdCBvZiBCYW5rIFNpemUgYW5kIENhcGl0YWwgQWRlcXVhY3kgb24gdGhlIFJlbGF0aW9uc2hpcCBCZXR3ZWVuIE5vbi1QZXJmb3JtaW5nIExvYW5zIGFuZCBCYW5rIEdyb3d0aDogRXZpZGVuY2UgZnJvbSBVLlMuIEJhbmtz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CYW5raW5nICYgRmluYW5jZSIsImNvbnRhaW5lci10aXRsZS1zaG9ydCI6IkouIEJhbmsuIEZpbmFuYy4iLCJpc3N1ZWQiOnsiZGF0ZS1wYXJ0cyI6W1syMDI1XV19fSwiaXNUZW1wb3JhcnkiOmZhbHNlfV19&quot;,&quot;citationItems&quot;:[{&quot;id&quot;:&quot;1202b059-3c03-3608-9e7a-1ffcc722596d&quot;,&quot;itemData&quot;:{&quot;type&quot;:&quot;article-journal&quot;,&quot;id&quot;:&quot;1202b059-3c03-3608-9e7a-1ffcc722596d&quot;,&quot;title&quot;:&quot;The Moderating Effect of Bank Size and Capital Adequacy on the Relationship Between Non-Performing Loans and Bank Growth: Evidence from U.S. Banks&quot;,&quot;author&quot;:[{&quot;family&quot;:&quot;Arhinful&quot;,&quot;given&quot;:&quot;Richard&quot;,&quot;parse-names&quot;:false,&quot;dropping-particle&quot;:&quot;&quot;,&quot;non-dropping-particle&quot;:&quot;&quot;},{&quot;family&quot;:&quot;Radmehr&quot;,&quot;given&quot;:&quot;Mehrshad&quot;,&quot;parse-names&quot;:false,&quot;dropping-particle&quot;:&quot;&quot;,&quot;non-dropping-particle&quot;:&quot;&quot;}],&quot;container-title&quot;:&quot;Journal of Banking &amp; Finance&quot;,&quot;container-title-short&quot;:&quot;J. Bank. Financ.&quot;,&quot;issued&quot;:{&quot;date-parts&quot;:[[2025]]}},&quot;isTemporary&quot;:false}]},{&quot;citationID&quot;:&quot;MENDELEY_CITATION_5a94d2b4-ca7e-484a-9428-3f7fb4ea2158&quot;,&quot;properties&quot;:{&quot;noteIndex&quot;:0},&quot;isEdited&quot;:false,&quot;manualOverride&quot;:{&quot;isManuallyOverridden&quot;:false,&quot;citeprocText&quot;:&quot;(Neuman, 2003)&quot;,&quot;manualOverrideText&quot;:&quot;&quot;},&quot;citationTag&quot;:&quot;MENDELEY_CITATION_v3_eyJjaXRhdGlvbklEIjoiTUVOREVMRVlfQ0lUQVRJT05fNWE5NGQyYjQtY2E3ZS00ODRhLTk0MjgtM2Y3ZmI0ZWEyMTU4IiwicHJvcGVydGllcyI6eyJub3RlSW5kZXgiOjB9LCJpc0VkaXRlZCI6ZmFsc2UsIm1hbnVhbE92ZXJyaWRlIjp7ImlzTWFudWFsbHlPdmVycmlkZGVuIjpmYWxzZSwiY2l0ZXByb2NUZXh0IjoiKE5ldW1hbiwgMjAwMykiLCJtYW51YWxPdmVycmlkZVRleHQiOiIifSwiY2l0YXRpb25JdGVtcyI6W3siaWQiOiIxN2UyMjYxMS0wZDQ0LTNiYWMtYTVhYS04MmFlMzU2NGZjMmYiLCJpdGVtRGF0YSI6eyJ0eXBlIjoiYm9vayIsImlkIjoiMTdlMjI2MTEtMGQ0NC0zYmFjLWE1YWEtODJhZTM1NjRmYzJmIiwidGl0bGUiOiJTb2NpYWwgUmVzZWFyY2ggTWV0aG9kczogUXVhbGl0YXRpdmUgYW5kIFF1YW50aXRhdGl2ZSBBcHByb2FjaGVzIiwiYXV0aG9yIjpbeyJmYW1pbHkiOiJOZXVtYW4iLCJnaXZlbiI6IlcgTGF3cmVuY2UiLCJwYXJzZS1uYW1lcyI6ZmFsc2UsImRyb3BwaW5nLXBhcnRpY2xlIjoiIiwibm9uLWRyb3BwaW5nLXBhcnRpY2xlIjoiIn1dLCJpc3N1ZWQiOnsiZGF0ZS1wYXJ0cyI6W1syMDAzXV19LCJwdWJsaXNoZXItcGxhY2UiOiJCb3N0b24iLCJlZGl0aW9uIjoiNSIsInB1Ymxpc2hlciI6IkFsbHluICYgQmFjb24iLCJjb250YWluZXItdGl0bGUtc2hvcnQiOiIifSwiaXNUZW1wb3JhcnkiOmZhbHNlfV19&quot;,&quot;citationItems&quot;:[{&quot;id&quot;:&quot;17e22611-0d44-3bac-a5aa-82ae3564fc2f&quot;,&quot;itemData&quot;:{&quot;type&quot;:&quot;book&quot;,&quot;id&quot;:&quot;17e22611-0d44-3bac-a5aa-82ae3564fc2f&quot;,&quot;title&quot;:&quot;Social Research Methods: Qualitative and Quantitative Approaches&quot;,&quot;author&quot;:[{&quot;family&quot;:&quot;Neuman&quot;,&quot;given&quot;:&quot;W Lawrence&quot;,&quot;parse-names&quot;:false,&quot;dropping-particle&quot;:&quot;&quot;,&quot;non-dropping-particle&quot;:&quot;&quot;}],&quot;issued&quot;:{&quot;date-parts&quot;:[[2003]]},&quot;publisher-place&quot;:&quot;Boston&quot;,&quot;edition&quot;:&quot;5&quot;,&quot;publisher&quot;:&quot;Allyn &amp; Bacon&quot;,&quot;container-title-short&quot;:&quot;&quot;},&quot;isTemporary&quot;:false}]},{&quot;citationID&quot;:&quot;MENDELEY_CITATION_46a56f43-be72-41fb-80ad-b94834bf6756&quot;,&quot;properties&quot;:{&quot;noteIndex&quot;:0},&quot;isEdited&quot;:false,&quot;manualOverride&quot;:{&quot;isManuallyOverridden&quot;:false,&quot;citeprocText&quot;:&quot;(Baron &amp;#38; Kenny, 1986)&quot;,&quot;manualOverrideText&quot;:&quot;&quot;},&quot;citationTag&quot;:&quot;MENDELEY_CITATION_v3_eyJjaXRhdGlvbklEIjoiTUVOREVMRVlfQ0lUQVRJT05fNDZhNTZmNDMtYmU3Mi00MWZiLTgwYWQtYjk0ODM0YmY2NzU2IiwicHJvcGVydGllcyI6eyJub3RlSW5kZXgiOjB9LCJpc0VkaXRlZCI6ZmFsc2UsIm1hbnVhbE92ZXJyaWRlIjp7ImlzTWFudWFsbHlPdmVycmlkZGVuIjpmYWxzZSwiY2l0ZXByb2NUZXh0IjoiKEJhcm9uICYjMzg7IEtlbm55LCAxOTg2KSIsIm1hbnVhbE92ZXJyaWRlVGV4dCI6IiJ9LCJjaXRhdGlvbkl0ZW1zIjpbeyJpZCI6IjQzZWUwNzVlLTE4N2EtM2ZjNy04ZDgxLTBlOWY2NWRlODhkZiIsIml0ZW1EYXRhIjp7InR5cGUiOiJhcnRpY2xlLWpvdXJuYWwiLCJpZCI6IjQzZWUwNzVlLTE4N2EtM2ZjNy04ZDgxLTBlOWY2NWRlODhkZiIsInRpdGxlIjoiVGhlIE1vZGVyYXRvcuKAk01lZGlhdG9yIFZhcmlhYmxlIERpc3RpbmN0aW9uIGluIFNvY2lhbCBQc3ljaG9sb2dpY2FsIFJlc2VhcmNoOiBDb25jZXB0dWFsLCBTdHJhdGVnaWMsIGFuZCBTdGF0aXN0aWNhbCBDb25zaWRlcmF0aW9ucyIsImF1dGhvciI6W3siZmFtaWx5IjoiQmFyb24iLCJnaXZlbiI6IlJldWJlbiBNIiwicGFyc2UtbmFtZXMiOmZhbHNlLCJkcm9wcGluZy1wYXJ0aWNsZSI6IiIsIm5vbi1kcm9wcGluZy1wYXJ0aWNsZSI6IiJ9LHsiZmFtaWx5IjoiS2VubnkiLCJnaXZlbiI6IkRhdmlkIEEiLCJwYXJzZS1uYW1lcyI6ZmFsc2UsImRyb3BwaW5nLXBhcnRpY2xlIjoiIiwibm9uLWRyb3BwaW5nLXBhcnRpY2xlIjoiIn1dLCJjb250YWluZXItdGl0bGUiOiJKb3VybmFsIG9mIFBlcnNvbmFsaXR5IGFuZCBTb2NpYWwgUHN5Y2hvbG9neSIsImNvbnRhaW5lci10aXRsZS1zaG9ydCI6IkouIFBlcnMuIFNvYy4gUHN5Y2hvbC4iLCJET0kiOiIxMC4xMDM3LzAwMjItMzUxNC41MS42LjExNzMiLCJpc3N1ZWQiOnsiZGF0ZS1wYXJ0cyI6W1sxOTg2XV19LCJwYWdlIjoiMTE3My0xMTgyIiwiaXNzdWUiOiI2Iiwidm9sdW1lIjoiNTEifSwiaXNUZW1wb3JhcnkiOmZhbHNlfV19&quot;,&quot;citationItems&quot;:[{&quot;id&quot;:&quot;43ee075e-187a-3fc7-8d81-0e9f65de88df&quot;,&quot;itemData&quot;:{&quot;type&quot;:&quot;article-journal&quot;,&quot;id&quot;:&quot;43ee075e-187a-3fc7-8d81-0e9f65de88df&quot;,&quot;title&quot;:&quot;The Moderator–Mediator Variable Distinction in Social Psychological Research: Conceptual, Strategic, and Statistical Considerations&quot;,&quot;author&quot;:[{&quot;family&quot;:&quot;Baron&quot;,&quot;given&quot;:&quot;Reuben M&quot;,&quot;parse-names&quot;:false,&quot;dropping-particle&quot;:&quot;&quot;,&quot;non-dropping-particle&quot;:&quot;&quot;},{&quot;family&quot;:&quot;Kenny&quot;,&quot;given&quot;:&quot;David A&quot;,&quot;parse-names&quot;:false,&quot;dropping-particle&quot;:&quot;&quot;,&quot;non-dropping-particle&quot;:&quot;&quot;}],&quot;container-title&quot;:&quot;Journal of Personality and Social Psychology&quot;,&quot;container-title-short&quot;:&quot;J. Pers. Soc. Psychol.&quot;,&quot;DOI&quot;:&quot;10.1037/0022-3514.51.6.1173&quot;,&quot;issued&quot;:{&quot;date-parts&quot;:[[1986]]},&quot;page&quot;:&quot;1173-1182&quot;,&quot;issue&quot;:&quot;6&quot;,&quot;volume&quot;:&quot;51&quot;},&quot;isTemporary&quot;:false}]},{&quot;citationID&quot;:&quot;MENDELEY_CITATION_9cdc1fd8-9bdb-4bec-9877-41a984402aa7&quot;,&quot;properties&quot;:{&quot;noteIndex&quot;:0},&quot;isEdited&quot;:false,&quot;manualOverride&quot;:{&quot;isManuallyOverridden&quot;:true,&quot;citeprocText&quot;:&quot;(Aguinis, 2004)&quot;,&quot;manualOverrideText&quot;:&quot;Aguinis (2004)&quot;},&quot;citationTag&quot;:&quot;MENDELEY_CITATION_v3_eyJjaXRhdGlvbklEIjoiTUVOREVMRVlfQ0lUQVRJT05fOWNkYzFmZDgtOWJkYi00YmVjLTk4NzctNDFhOTg0NDAyYWE3IiwicHJvcGVydGllcyI6eyJub3RlSW5kZXgiOjB9LCJpc0VkaXRlZCI6ZmFsc2UsIm1hbnVhbE92ZXJyaWRlIjp7ImlzTWFudWFsbHlPdmVycmlkZGVuIjp0cnVlLCJjaXRlcHJvY1RleHQiOiIoQWd1aW5pcywgMjAwNCkiLCJtYW51YWxPdmVycmlkZVRleHQiOiJBZ3VpbmlzICgyMDA0KSJ9LCJjaXRhdGlvbkl0ZW1zIjpbeyJpZCI6IjBkNjgzNjhhLTU3NjMtM2YzNy05M2UzLTJhODdjODFhNjZmNCIsIml0ZW1EYXRhIjp7InR5cGUiOiJib29rIiwiaWQiOiIwZDY4MzY4YS01NzYzLTNmMzctOTNlMy0yYTg3YzgxYTY2ZjQiLCJ0aXRsZSI6IlJlZ3Jlc3Npb24gQW5hbHlzaXMgZm9yIENhdGVnb3JpY2FsIE1vZGVyYXRvcnMiLCJhdXRob3IiOlt7ImZhbWlseSI6IkFndWluaXMiLCJnaXZlbiI6Ikhlcm1hbiIsInBhcnNlLW5hbWVzIjpmYWxzZSwiZHJvcHBpbmctcGFydGljbGUiOiIiLCJub24tZHJvcHBpbmctcGFydGljbGUiOiIifV0sImlzc3VlZCI6eyJkYXRlLXBhcnRzIjpbWzIwMDRdXX0sInB1Ymxpc2hlci1wbGFjZSI6Ik5ldyBZb3JrIiwicHVibGlzaGVyIjoiR3VpbGZvcmQgUHJlc3MiLCJjb250YWluZXItdGl0bGUtc2hvcnQiOiIifSwiaXNUZW1wb3JhcnkiOmZhbHNlfV19&quot;,&quot;citationItems&quot;:[{&quot;id&quot;:&quot;0d68368a-5763-3f37-93e3-2a87c81a66f4&quot;,&quot;itemData&quot;:{&quot;type&quot;:&quot;book&quot;,&quot;id&quot;:&quot;0d68368a-5763-3f37-93e3-2a87c81a66f4&quot;,&quot;title&quot;:&quot;Regression Analysis for Categorical Moderators&quot;,&quot;author&quot;:[{&quot;family&quot;:&quot;Aguinis&quot;,&quot;given&quot;:&quot;Herman&quot;,&quot;parse-names&quot;:false,&quot;dropping-particle&quot;:&quot;&quot;,&quot;non-dropping-particle&quot;:&quot;&quot;}],&quot;issued&quot;:{&quot;date-parts&quot;:[[2004]]},&quot;publisher-place&quot;:&quot;New York&quot;,&quot;publisher&quot;:&quot;Guilford Press&quot;,&quot;container-title-short&quot;:&quot;&quot;},&quot;isTemporary&quot;:false}]},{&quot;citationID&quot;:&quot;MENDELEY_CITATION_3e9bb280-5ee1-43b7-9458-d2d3f74c213b&quot;,&quot;properties&quot;:{&quot;noteIndex&quot;:0},&quot;isEdited&quot;:false,&quot;manualOverride&quot;:{&quot;isManuallyOverridden&quot;:false,&quot;citeprocText&quot;:&quot;(Ghozali, 2018)&quot;,&quot;manualOverrideText&quot;:&quot;&quot;},&quot;citationTag&quot;:&quot;MENDELEY_CITATION_v3_eyJjaXRhdGlvbklEIjoiTUVOREVMRVlfQ0lUQVRJT05fM2U5YmIyODAtNWVlMS00M2I3LTk0NTgtZDJkM2Y3NGMyMTNiIiwicHJvcGVydGllcyI6eyJub3RlSW5kZXgiOjB9LCJpc0VkaXRlZCI6ZmFsc2UsIm1hbnVhbE92ZXJyaWRlIjp7ImlzTWFudWFsbHlPdmVycmlkZGVuIjpmYWxzZSwiY2l0ZXByb2NUZXh0IjoiKEdob3phbGksIDIwMTgpIiwibWFudWFsT3ZlcnJpZGVUZXh0IjoiIn0sImNpdGF0aW9uSXRlbXMiOlt7ImlkIjoiZTQ1NzY0MDEtNTM1MC0zN2Y5LTlmMDEtZDQxYTg1MjVlMTdlIiwiaXRlbURhdGEiOnsidHlwZSI6ImJvb2siLCJpZCI6ImU0NTc2NDAxLTUzNTAtMzdmOS05ZjAxLWQ0MWE4NTI1ZTE3ZSIsInRpdGxlIjoiQXBsaWthc2kgQW5hbGlzaXMgTXVsdGl2YXJpYXRlIGRlbmdhbiBQcm9ncmFtIElCTSBTUFNTIDI1IiwiYXV0aG9yIjpbeyJmYW1pbHkiOiJHaG96YWxpIiwiZ2l2ZW4iOiJJbWFtIiwicGFyc2UtbmFtZXMiOmZhbHNlLCJkcm9wcGluZy1wYXJ0aWNsZSI6IiIsIm5vbi1kcm9wcGluZy1wYXJ0aWNsZSI6IiJ9XSwiaXNzdWVkIjp7ImRhdGUtcGFydHMiOltbMjAxOF1dfSwicHVibGlzaGVyLXBsYWNlIjoiU2VtYXJhbmciLCJlZGl0aW9uIjoiOSIsInB1Ymxpc2hlciI6IkJhZGFuIFBlbmVyYml0IFVuaXZlcnNpdGFzIERpcG9uZWdvcm8iLCJjb250YWluZXItdGl0bGUtc2hvcnQiOiIifSwiaXNUZW1wb3JhcnkiOmZhbHNlfV19&quot;,&quot;citationItems&quot;:[{&quot;id&quot;:&quot;e4576401-5350-37f9-9f01-d41a8525e17e&quot;,&quot;itemData&quot;:{&quot;type&quot;:&quot;book&quot;,&quot;id&quot;:&quot;e4576401-5350-37f9-9f01-d41a8525e17e&quot;,&quot;title&quot;:&quot;Aplikasi Analisis Multivariate dengan Program IBM SPSS 25&quot;,&quot;author&quot;:[{&quot;family&quot;:&quot;Ghozali&quot;,&quot;given&quot;:&quot;Imam&quot;,&quot;parse-names&quot;:false,&quot;dropping-particle&quot;:&quot;&quot;,&quot;non-dropping-particle&quot;:&quot;&quot;}],&quot;issued&quot;:{&quot;date-parts&quot;:[[2018]]},&quot;publisher-place&quot;:&quot;Semarang&quot;,&quot;edition&quot;:&quot;9&quot;,&quot;publisher&quot;:&quot;Badan Penerbit Universitas Diponegoro&quot;,&quot;container-title-short&quot;:&quot;&quot;},&quot;isTemporary&quot;:false}]},{&quot;citationID&quot;:&quot;MENDELEY_CITATION_7382a49c-f00a-4cd9-aa7f-156ebf0a07f3&quot;,&quot;properties&quot;:{&quot;noteIndex&quot;:0},&quot;isEdited&quot;:false,&quot;manualOverride&quot;:{&quot;isManuallyOverridden&quot;:true,&quot;citeprocText&quot;:&quot;(Sutrisno, 2024)&quot;,&quot;manualOverrideText&quot;:&quot;Sutrisno et. al (2024)&quot;},&quot;citationTag&quot;:&quot;MENDELEY_CITATION_v3_eyJjaXRhdGlvbklEIjoiTUVOREVMRVlfQ0lUQVRJT05fNzM4MmE0OWMtZjAwYS00Y2Q5LWFhN2YtMTU2ZWJmMGEwN2YzIiwicHJvcGVydGllcyI6eyJub3RlSW5kZXgiOjB9LCJpc0VkaXRlZCI6ZmFsc2UsIm1hbnVhbE92ZXJyaWRlIjp7ImlzTWFudWFsbHlPdmVycmlkZGVuIjp0cnVlLCJjaXRlcHJvY1RleHQiOiIoU3V0cmlzbm8sIDIwMjQpIiwibWFudWFsT3ZlcnJpZGVUZXh0IjoiU3V0cmlzbm8gZXQuIGFsICgyMDI0KSJ9LCJjaXRhdGlvbkl0ZW1zIjpbeyJpZCI6IjgyNDVkZTFmLWRkZTktMzA5NS1hMjEzLWNkMmY5MGFjYWQwOCIsIml0ZW1EYXRhIjp7InR5cGUiOiJhcnRpY2xlLWpvdXJuYWwiLCJpZCI6IjgyNDVkZTFmLWRkZTktMzA5NS1hMjEzLWNkMmY5MGFjYWQwOCIsInRpdGxlIjoiVGhlIFJvbGUgb2YgR3JlZW4gQ3JlZGl0IGluIEJhbmsgUHJvZml0YWJpbGl0eSBhbmQgU3RhYmlsaXR5OiBBIENhc2UgU3R1ZHkgb24gR3JlZW4gQmFua2luZyBpbiBJbmRvbmVzaWEiLCJhdXRob3IiOlt7ImZhbWlseSI6IlN1dHJpc25vIiwiZ2l2ZW4iOiJTIiwicGFyc2UtbmFtZXMiOmZhbHNlLCJkcm9wcGluZy1wYXJ0aWNsZSI6IiIsIm5vbi1kcm9wcGluZy1wYXJ0aWNsZSI6IiJ9XSwiY29udGFpbmVyLXRpdGxlIjoiUmlza3MiLCJET0kiOiIxMC4zMzkwL3Jpc2tzMTIxMjAxOTgiLCJJU1NOIjoiMjIyNy05MDkxIiwiVVJMIjoiaHR0cHM6Ly93d3cuc2NvcHVzLmNvbS9pbndhcmQvcmVjb3JkLnVyaT9wYXJ0bmVySUQ9SHpPeE1lM2Imc2NwPTg1MjEzMzU5MDk0Jm9yaWdpbj1pbndhcmQiLCJpc3N1ZWQiOnsiZGF0ZS1wYXJ0cyI6W1syMDI0XV19LCJpc3N1ZSI6IjEyIiwidm9sdW1lIjoiMTIiLCJjb250YWluZXItdGl0bGUtc2hvcnQiOiIifSwiaXNUZW1wb3JhcnkiOmZhbHNlLCJzdXBwcmVzcy1hdXRob3IiOmZhbHNlLCJjb21wb3NpdGUiOmZhbHNlLCJhdXRob3Itb25seSI6ZmFsc2V9XX0=&quot;,&quot;citationItems&quot;:[{&quot;id&quot;:&quot;8245de1f-dde9-3095-a213-cd2f90acad08&quot;,&quot;itemData&quot;:{&quot;type&quot;:&quot;article-journal&quot;,&quot;id&quot;:&quot;8245de1f-dde9-3095-a213-cd2f90acad08&quot;,&quot;title&quot;:&quot;The Role of Green Credit in Bank Profitability and Stability: A Case Study on Green Banking in Indonesia&quot;,&quot;author&quot;:[{&quot;family&quot;:&quot;Sutrisno&quot;,&quot;given&quot;:&quot;S&quot;,&quot;parse-names&quot;:false,&quot;dropping-particle&quot;:&quot;&quot;,&quot;non-dropping-particle&quot;:&quot;&quot;}],&quot;container-title&quot;:&quot;Risks&quot;,&quot;DOI&quot;:&quot;10.3390/risks12120198&quot;,&quot;ISSN&quot;:&quot;2227-9091&quot;,&quot;URL&quot;:&quot;https://www.scopus.com/inward/record.uri?partnerID=HzOxMe3b&amp;scp=85213359094&amp;origin=inward&quot;,&quot;issued&quot;:{&quot;date-parts&quot;:[[2024]]},&quot;issue&quot;:&quot;12&quot;,&quot;volume&quot;:&quot;12&quot;,&quot;container-title-short&quot;:&quot;&quot;},&quot;isTemporary&quot;:false,&quot;suppress-author&quot;:false,&quot;composite&quot;:false,&quot;author-only&quot;:false}]},{&quot;citationID&quot;:&quot;MENDELEY_CITATION_017f0a7b-12e7-4b53-935a-f6aa0b35144e&quot;,&quot;properties&quot;:{&quot;noteIndex&quot;:0},&quot;isEdited&quot;:false,&quot;manualOverride&quot;:{&quot;isManuallyOverridden&quot;:true,&quot;citeprocText&quot;:&quot;(Fata &amp;#38; Arifin, 2024)&quot;,&quot;manualOverrideText&quot;:&quot;Fata &amp; Arifin (2024)&quot;},&quot;citationTag&quot;:&quot;MENDELEY_CITATION_v3_eyJjaXRhdGlvbklEIjoiTUVOREVMRVlfQ0lUQVRJT05fMDE3ZjBhN2ItMTJlNy00YjUzLTkzNWEtZjZhYTBiMzUxNDRlIiwicHJvcGVydGllcyI6eyJub3RlSW5kZXgiOjB9LCJpc0VkaXRlZCI6ZmFsc2UsIm1hbnVhbE92ZXJyaWRlIjp7ImlzTWFudWFsbHlPdmVycmlkZGVuIjp0cnVlLCJjaXRlcHJvY1RleHQiOiIoRmF0YSAmIzM4OyBBcmlmaW4sIDIwMjQpIiwibWFudWFsT3ZlcnJpZGVUZXh0IjoiRmF0YSAmIEFyaWZpbiAoMjAyNCkifSwiY2l0YXRpb25JdGVtcyI6W3siaWQiOiIyZGI2M2UxMS0wYmE4LTNiYWItODk4Yy0wY2JhOWNiMWE4YTAiLCJpdGVtRGF0YSI6eyJ0eXBlIjoiYXJ0aWNsZS1qb3VybmFsIiwiaWQiOiIyZGI2M2UxMS0wYmE4LTNiYWItODk4Yy0wY2JhOWNiMWE4YTAiLCJ0aXRsZSI6IkdyZWVuIENyZWRpdCBhbmQgQmFua2luZyBQcm9maXRhYmlsaXR5OiBBIFN1Ymdyb3VwIEFuYWx5c2lzIG9mIEluZG9uZXNpYW4gQmFua3MiLCJhdXRob3IiOlt7ImZhbWlseSI6IkZhdGEiLCJnaXZlbiI6IkEiLCJwYXJzZS1uYW1lcyI6ZmFsc2UsImRyb3BwaW5nLXBhcnRpY2xlIjoiIiwibm9uLWRyb3BwaW5nLXBhcnRpY2xlIjoiIn0seyJmYW1pbHkiOiJBcmlmaW4iLCJnaXZlbiI6IkEiLCJwYXJzZS1uYW1lcyI6ZmFsc2UsImRyb3BwaW5nLXBhcnRpY2xlIjoiIiwibm9uLWRyb3BwaW5nLXBhcnRpY2xlIjoiIn1dLCJjb250YWluZXItdGl0bGUiOiJJbmRvbmVzaWFuIEpvdXJuYWwgb2YgQmFua2luZyBhbmQgRmluYW5jaWFsIFN0dWRpZXMiLCJpc3N1ZWQiOnsiZGF0ZS1wYXJ0cyI6W1syMDI0XV19LCJjb250YWluZXItdGl0bGUtc2hvcnQiOiIifSwiaXNUZW1wb3JhcnkiOmZhbHNlLCJzdXBwcmVzcy1hdXRob3IiOmZhbHNlLCJjb21wb3NpdGUiOmZhbHNlLCJhdXRob3Itb25seSI6ZmFsc2V9XX0=&quot;,&quot;citationItems&quot;:[{&quot;id&quot;:&quot;2db63e11-0ba8-3bab-898c-0cba9cb1a8a0&quot;,&quot;itemData&quot;:{&quot;type&quot;:&quot;article-journal&quot;,&quot;id&quot;:&quot;2db63e11-0ba8-3bab-898c-0cba9cb1a8a0&quot;,&quot;title&quot;:&quot;Green Credit and Banking Profitability: A Subgroup Analysis of Indonesian Banks&quot;,&quot;author&quot;:[{&quot;family&quot;:&quot;Fata&quot;,&quot;given&quot;:&quot;A&quot;,&quot;parse-names&quot;:false,&quot;dropping-particle&quot;:&quot;&quot;,&quot;non-dropping-particle&quot;:&quot;&quot;},{&quot;family&quot;:&quot;Arifin&quot;,&quot;given&quot;:&quot;A&quot;,&quot;parse-names&quot;:false,&quot;dropping-particle&quot;:&quot;&quot;,&quot;non-dropping-particle&quot;:&quot;&quot;}],&quot;container-title&quot;:&quot;Indonesian Journal of Banking and Financial Studies&quot;,&quot;issued&quot;:{&quot;date-parts&quot;:[[2024]]},&quot;container-title-short&quot;:&quot;&quot;},&quot;isTemporary&quot;:false,&quot;suppress-author&quot;:false,&quot;composite&quot;:false,&quot;author-only&quot;:false}]},{&quot;citationID&quot;:&quot;MENDELEY_CITATION_03163d73-065f-4069-bcde-85afcfdb84fa&quot;,&quot;properties&quot;:{&quot;noteIndex&quot;:0},&quot;isEdited&quot;:false,&quot;manualOverride&quot;:{&quot;isManuallyOverridden&quot;:true,&quot;citeprocText&quot;:&quot;(Suganthi &amp;#38; others, 2025)&quot;,&quot;manualOverrideText&quot;:&quot;Suganthi et al(2025)&quot;},&quot;citationTag&quot;:&quot;MENDELEY_CITATION_v3_eyJjaXRhdGlvbklEIjoiTUVOREVMRVlfQ0lUQVRJT05fMDMxNjNkNzMtMDY1Zi00MDY5LWJjZGUtODVhZmNmZGI4NGZhIiwicHJvcGVydGllcyI6eyJub3RlSW5kZXgiOjB9LCJpc0VkaXRlZCI6ZmFsc2UsIm1hbnVhbE92ZXJyaWRlIjp7ImlzTWFudWFsbHlPdmVycmlkZGVuIjp0cnVlLCJjaXRlcHJvY1RleHQiOiIoU3VnYW50aGkgJiMzODsgb3RoZXJzLCAyMDI1KSIsIm1hbnVhbE92ZXJyaWRlVGV4dCI6IlN1Z2FudGhpIGV0IGFsKDIwMjUpIn0sImNpdGF0aW9uSXRlbXMiOlt7ImlkIjoiZGI5YzA0NDItMjBiOS0zMDNjLWEwMzAtOTA1N2UzNjBlNTU3IiwiaXRlbURhdGEiOnsidHlwZSI6ImFydGljbGUtam91cm5hbCIsImlkIjoiZGI5YzA0NDItMjBiOS0zMDNjLWEwMzAtOTA1N2UzNjBlNTU3IiwidGl0bGUiOiJNZXRhLUFuYWx5c2lzIG9mIEdyZWVuIEJhbmtpbmcgYW5kIFByb2ZpdGFiaWxpdHk6IEEgU3R1ZHkgb2YgMTU5IEJhbmtzIEFjcm9zcyA0MiBDb3VudHJpZXMiLCJhdXRob3IiOlt7ImZhbWlseSI6IlN1Z2FudGhpIiwiZ2l2ZW4iOiJQIiwicGFyc2UtbmFtZXMiOmZhbHNlLCJkcm9wcGluZy1wYXJ0aWNsZSI6IiIsIm5vbi1kcm9wcGluZy1wYXJ0aWNsZSI6IiJ9LHsiZmFtaWx5Ijoib3RoZXJzIiwiZ2l2ZW4iOiIiLCJwYXJzZS1uYW1lcyI6ZmFsc2UsImRyb3BwaW5nLXBhcnRpY2xlIjoiIiwibm9uLWRyb3BwaW5nLXBhcnRpY2xlIjoiIn1dLCJjb250YWluZXItdGl0bGUiOiJKb3VybmFsIG9mIENsZWFuZXIgUHJvZHVjdGlvbiIsImNvbnRhaW5lci10aXRsZS1zaG9ydCI6IkouIENsZWFuLiBQcm9kLiIsImlzc3VlZCI6eyJkYXRlLXBhcnRzIjpbWzIwMjVdXX19LCJpc1RlbXBvcmFyeSI6ZmFsc2UsInN1cHByZXNzLWF1dGhvciI6ZmFsc2UsImNvbXBvc2l0ZSI6ZmFsc2UsImF1dGhvci1vbmx5IjpmYWxzZX1dfQ==&quot;,&quot;citationItems&quot;:[{&quot;id&quot;:&quot;db9c0442-20b9-303c-a030-9057e360e557&quot;,&quot;itemData&quot;:{&quot;type&quot;:&quot;article-journal&quot;,&quot;id&quot;:&quot;db9c0442-20b9-303c-a030-9057e360e557&quot;,&quot;title&quot;:&quot;Meta-Analysis of Green Banking and Profitability: A Study of 159 Banks Across 42 Countries&quot;,&quot;author&quot;:[{&quot;family&quot;:&quot;Suganthi&quot;,&quot;given&quot;:&quot;P&quot;,&quot;parse-names&quot;:false,&quot;dropping-particle&quot;:&quot;&quot;,&quot;non-dropping-particle&quot;:&quot;&quot;},{&quot;family&quot;:&quot;others&quot;,&quot;given&quot;:&quot;&quot;,&quot;parse-names&quot;:false,&quot;dropping-particle&quot;:&quot;&quot;,&quot;non-dropping-particle&quot;:&quot;&quot;}],&quot;container-title&quot;:&quot;Journal of Cleaner Production&quot;,&quot;container-title-short&quot;:&quot;J. Clean. Prod.&quot;,&quot;issued&quot;:{&quot;date-parts&quot;:[[2025]]}},&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CAFEF-A41E-40BC-8C1F-90F9563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25399</Words>
  <Characters>144775</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TRIYUGO WINARKO</dc:creator>
  <cp:lastModifiedBy>User</cp:lastModifiedBy>
  <cp:revision>2</cp:revision>
  <dcterms:created xsi:type="dcterms:W3CDTF">2026-08-03T04:45:00Z</dcterms:created>
  <dcterms:modified xsi:type="dcterms:W3CDTF">2026-08-03T04:45:00Z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2c54c8fd-8744-3837-9ed8-cc2c0b332589</vt:lpwstr>
  </property>
  <property fmtid="{D5CDD505-2E9C-101B-9397-08002B2CF9AE}" pid="24" name="Mendeley Citation Style_1">
    <vt:lpwstr>http://www.zotero.org/styles/apa</vt:lpwstr>
  </property>
</Properties>
</file>